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 w:cs="Noto Sans Khmer"/>
          <w:b/>
          <w:color w:val="2E74B5"/>
          <w:sz w:val="20"/>
        </w:rPr>
        <w:t>KHMERX</w:t>
      </w:r>
    </w:p>
    <w:p>
      <w:pPr>
        <w:spacing w:after="120"/>
        <w:jc w:val="center"/>
      </w:pPr>
      <w:r>
        <w:rPr>
          <w:rFonts w:ascii="Aptos" w:hAnsi="Aptos" w:eastAsia="Microsoft YaHei" w:cs="Noto Sans Khmer"/>
          <w:b/>
          <w:color w:val="1F4D78"/>
          <w:sz w:val="48"/>
        </w:rPr>
        <w:t>绩效评估表</w:t>
      </w:r>
    </w:p>
    <w:p>
      <w:pPr>
        <w:spacing w:after="360"/>
        <w:jc w:val="center"/>
      </w:pPr>
      <w:r>
        <w:rPr>
          <w:rFonts w:ascii="Aptos" w:hAnsi="Aptos" w:eastAsia="Microsoft YaHei" w:cs="Noto Sans Khmer"/>
          <w:b w:val="0"/>
          <w:color w:val="5B6573"/>
          <w:sz w:val="23"/>
        </w:rPr>
        <w:t>Performance Review Form | 以服务、合规与协作为核心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文件状态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运营表单模板</w:t>
            </w:r>
          </w:p>
        </w:tc>
      </w:tr>
      <w:t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试点版 | 2026-09-02</w:t>
            </w:r>
          </w:p>
        </w:tc>
      </w:tr>
    </w:tbl>
    <w:p/>
    <w:p>
      <w:r>
        <w:rPr>
          <w:rFonts w:ascii="Aptos" w:hAnsi="Aptos" w:eastAsia="Microsoft YaHei" w:cs="Noto Sans Khmer"/>
          <w:b w:val="0"/>
          <w:color w:val="000000"/>
          <w:sz w:val="21"/>
        </w:rPr>
        <w:t>适用于月度/季度评估。评分必须有证据来源；奖金建议仅在合规和数据安全为合格时考虑。出现严重违规、伪造记录、泄露数据或绕过审批时，应先启动调查而非用绩效表替代纪律程序。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1. 基础信息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员工姓名/编号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岗位/部门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评估周期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[起始日] 至 [结束日]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直属负责人/复核人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评估语言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[高棉语/英语/中文]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2. 评分与证据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50"/>
        <w:gridCol w:w="900"/>
        <w:gridCol w:w="2450"/>
        <w:gridCol w:w="1300"/>
        <w:gridCol w:w="2860"/>
      </w:tblGrid>
      <w:tr>
        <w:trPr>
          <w:tblHeader w:val="true"/>
        </w:trPr>
        <w:tc>
          <w:tcPr>
            <w:tcW w:type="dxa" w:w="18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维度</w:t>
            </w:r>
          </w:p>
        </w:tc>
        <w:tc>
          <w:tcPr>
            <w:tcW w:type="dxa" w:w="9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权重</w:t>
            </w:r>
          </w:p>
        </w:tc>
        <w:tc>
          <w:tcPr>
            <w:tcW w:type="dxa" w:w="24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目标/标准</w:t>
            </w:r>
          </w:p>
        </w:tc>
        <w:tc>
          <w:tcPr>
            <w:tcW w:type="dxa" w:w="13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评分（1-5）</w:t>
            </w:r>
          </w:p>
        </w:tc>
        <w:tc>
          <w:tcPr>
            <w:tcW w:type="dxa" w:w="2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证据与反馈</w:t>
            </w:r>
          </w:p>
        </w:tc>
      </w:tr>
      <w:tr>
        <w:tc>
          <w:tcPr>
            <w:tcW w:type="dxa" w:w="185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服务质量与时效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35%</w:t>
            </w:r>
          </w:p>
        </w:tc>
        <w:tc>
          <w:tcPr>
            <w:tcW w:type="dxa" w:w="245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准确、SLA、无虚假承诺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 ]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[填写]</w:t>
            </w:r>
          </w:p>
        </w:tc>
      </w:tr>
      <w:tr>
        <w:tc>
          <w:tcPr>
            <w:tcW w:type="dxa" w:w="18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合规与数据安全</w:t>
            </w:r>
          </w:p>
        </w:tc>
        <w:tc>
          <w:tcPr>
            <w:tcW w:type="dxa" w:w="9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35%</w:t>
            </w:r>
          </w:p>
        </w:tc>
        <w:tc>
          <w:tcPr>
            <w:tcW w:type="dxa" w:w="24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正确升级、无严重违规、完成培训</w:t>
            </w:r>
          </w:p>
        </w:tc>
        <w:tc>
          <w:tcPr>
            <w:tcW w:type="dxa" w:w="13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 ]</w:t>
            </w:r>
          </w:p>
        </w:tc>
        <w:tc>
          <w:tcPr>
            <w:tcW w:type="dxa" w:w="2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[填写]</w:t>
            </w:r>
          </w:p>
        </w:tc>
      </w:tr>
      <w:tr>
        <w:tc>
          <w:tcPr>
            <w:tcW w:type="dxa" w:w="185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协作与记录质量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245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交接清楚、工单完整、跨语言准确</w:t>
            </w:r>
          </w:p>
        </w:tc>
        <w:tc>
          <w:tcPr>
            <w:tcW w:type="dxa" w:w="1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 ]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[填写]</w:t>
            </w:r>
          </w:p>
        </w:tc>
      </w:tr>
      <w:tr>
        <w:tc>
          <w:tcPr>
            <w:tcW w:type="dxa" w:w="18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改进贡献</w:t>
            </w:r>
          </w:p>
        </w:tc>
        <w:tc>
          <w:tcPr>
            <w:tcW w:type="dxa" w:w="9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245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被采纳的 FAQ、流程或风险改进</w:t>
            </w:r>
          </w:p>
        </w:tc>
        <w:tc>
          <w:tcPr>
            <w:tcW w:type="dxa" w:w="13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 ]</w:t>
            </w:r>
          </w:p>
        </w:tc>
        <w:tc>
          <w:tcPr>
            <w:tcW w:type="dxa" w:w="2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[填写]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3. 奖励与发展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合规门槛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 ] 合格  [ ] 不合格；不合格时不得以奖金替代调查或纠正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建议奖励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[无 / 金额或比例]；需负责人和非直接主管双人复核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下一周期目标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 3 项可衡量目标]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培训/晋升建议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员工反馈与复核请求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员工签名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直属负责人签名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人力/授权代表签名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Noto Sans Khmer"/>
        <w:b w:val="0"/>
        <w:color w:val="5B6573"/>
        <w:sz w:val="16"/>
      </w:rPr>
      <w:t>内部试点模板 | 经当地法务与 HR 定稿后使用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Noto Sans Khmer"/>
        <w:b w:val="0"/>
        <w:color w:val="5B6573"/>
        <w:sz w:val="17"/>
      </w:rPr>
      <w:t>KhmerX | 人事与运营文件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