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240"/>
        <w:jc w:val="center"/>
      </w:pPr>
      <w:r>
        <w:rPr>
          <w:rFonts w:ascii="Aptos" w:hAnsi="Aptos" w:eastAsia="Microsoft YaHei" w:cs="Noto Sans Khmer"/>
          <w:b/>
          <w:color w:val="2E74B5"/>
          <w:sz w:val="20"/>
        </w:rPr>
        <w:t>KHMERX | OPERATIONS</w:t>
      </w:r>
    </w:p>
    <w:p>
      <w:pPr>
        <w:spacing w:after="160"/>
        <w:jc w:val="center"/>
      </w:pPr>
      <w:r>
        <w:rPr>
          <w:rFonts w:ascii="Aptos" w:hAnsi="Aptos" w:eastAsia="Microsoft YaHei" w:cs="Noto Sans Khmer"/>
          <w:b/>
          <w:color w:val="1F4D78"/>
          <w:sz w:val="50"/>
        </w:rPr>
        <w:t>KhmerX 首期组织架构与员工制度</w:t>
      </w:r>
    </w:p>
    <w:p>
      <w:pPr>
        <w:spacing w:after="440"/>
        <w:jc w:val="center"/>
      </w:pPr>
      <w:r>
        <w:rPr>
          <w:rFonts w:ascii="Aptos" w:hAnsi="Aptos" w:eastAsia="Microsoft YaHei" w:cs="Noto Sans Khmer"/>
          <w:b w:val="0"/>
          <w:color w:val="5B6573"/>
          <w:sz w:val="24"/>
        </w:rPr>
        <w:t>组织、薪酬激励、员工管理与合规边界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AF2F8"/>
          </w:tcPr>
          <w:p>
            <w:r>
              <w:rPr>
                <w:rFonts w:ascii="Aptos" w:hAnsi="Aptos" w:eastAsia="Microsoft YaHei" w:cs="Noto Sans Khmer"/>
                <w:b w:val="0"/>
                <w:color w:val="1F4D78"/>
                <w:sz w:val="19"/>
              </w:rPr>
              <w:t>文件状态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内部管理草案</w:t>
            </w:r>
          </w:p>
        </w:tc>
      </w:tr>
      <w:tr>
        <w:tc>
          <w:tcPr>
            <w:tcW w:type="dxa" w:w="2100"/>
            <w:vAlign w:val="center"/>
            <w:shd w:fill="EAF2F8"/>
          </w:tcPr>
          <w:p>
            <w:r>
              <w:rPr>
                <w:rFonts w:ascii="Aptos" w:hAnsi="Aptos" w:eastAsia="Microsoft YaHei" w:cs="Noto Sans Khmer"/>
                <w:b w:val="0"/>
                <w:color w:val="1F4D78"/>
                <w:sz w:val="19"/>
              </w:rPr>
              <w:t>适用范围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柬埔寨首期受控试点</w:t>
            </w:r>
          </w:p>
        </w:tc>
      </w:tr>
      <w:tr>
        <w:tc>
          <w:tcPr>
            <w:tcW w:type="dxa" w:w="2100"/>
            <w:vAlign w:val="center"/>
            <w:shd w:fill="EAF2F8"/>
          </w:tcPr>
          <w:p>
            <w:r>
              <w:rPr>
                <w:rFonts w:ascii="Aptos" w:hAnsi="Aptos" w:eastAsia="Microsoft YaHei" w:cs="Noto Sans Khmer"/>
                <w:b w:val="0"/>
                <w:color w:val="1F4D78"/>
                <w:sz w:val="19"/>
              </w:rPr>
              <w:t>版本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试点版 | 2026-09-02</w:t>
            </w:r>
          </w:p>
        </w:tc>
      </w:tr>
    </w:tbl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EAF2F8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适用范围：</w:t>
            </w:r>
            <w:r>
              <w:rPr>
                <w:rFonts w:ascii="Aptos" w:hAnsi="Aptos" w:eastAsia="Microsoft YaHei" w:cs="Noto Sans Khmer"/>
                <w:b w:val="0"/>
                <w:color w:val="1F4D78"/>
                <w:sz w:val="19"/>
              </w:rPr>
              <w:t xml:space="preserve"> KhmerX 在柬埔寨的首期受控试点团队。PayEase 是 KhmerX 面向个人用户的金融产品。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EAF2F8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文件性质：</w:t>
            </w:r>
            <w:r>
              <w:rPr>
                <w:rFonts w:ascii="Aptos" w:hAnsi="Aptos" w:eastAsia="Microsoft YaHei" w:cs="Noto Sans Khmer"/>
                <w:b w:val="0"/>
                <w:color w:val="1F4D78"/>
                <w:sz w:val="19"/>
              </w:rPr>
              <w:t xml:space="preserve"> 内部管理草案，不替代劳动合同、当地法律、MLVT 要求、税务/社保义务或持牌机构制度；上线前由柬埔寨劳动法律师和人力顾问确认。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ptos" w:hAnsi="Aptos" w:eastAsia="Microsoft YaHei" w:cs="Noto Sans Khmer"/>
          <w:b w:val="0"/>
          <w:color w:val="2E74B5"/>
          <w:sz w:val="32"/>
        </w:rPr>
        <w:t>1. 管理原则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尊重、平等、清晰和可追溯：以高棉语为一线工作语言，英语和中文用于跨团队协作；不得因语言、性别、籍贯、宗教或个人背景歧视员工。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岗位职责与系统权限分离。任何客服、HR、产品或运营人员都不能决定额度、利率、合同、放款或核销。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客户资料只为完成工作而访问；不在私人 Telegram、个人手机相册、Excel 私人副本或聊天群保存。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绩效奖励只奖励服务质量、合规和协作，不以促成借款金额、放款金额、催收金额或拒绝率作为个人 KPI。</w:t>
      </w:r>
    </w:p>
    <w:p>
      <w:pPr>
        <w:pStyle w:val="Heading1"/>
      </w:pPr>
      <w:r>
        <w:rPr>
          <w:rFonts w:ascii="Aptos" w:hAnsi="Aptos" w:eastAsia="Microsoft YaHei" w:cs="Noto Sans Khmer"/>
          <w:b w:val="0"/>
          <w:color w:val="2E74B5"/>
          <w:sz w:val="32"/>
        </w:rPr>
        <w:t>2. 首期组织架构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执行负责人 / General Manager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 产品与项目组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├─ 产品经理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└─ 双语/三语项目助理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 客户运营组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├─ 客服组长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└─ 客服专员 ×2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 助贷运营与质量组（试点期间可由负责人兼管）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├─ 资料完整性审核 / 补件协调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├─ 企业核验催办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│  └─ 异常工单、对账协同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├─ 财务与行政（先由负责人或外包专业服务覆盖）</w:t>
      </w:r>
    </w:p>
    <w:p>
      <w:pPr>
        <w:spacing w:after="20"/>
        <w:ind w:left="360"/>
      </w:pPr>
      <w:r>
        <w:rPr>
          <w:rFonts w:ascii="Consolas" w:hAnsi="Consolas"/>
          <w:sz w:val="17"/>
        </w:rPr>
        <w:t>└─ 合规、数据保护与技术安全（负责人 + 外部顾问）</w:t>
      </w:r>
    </w:p>
    <w:p>
      <w:pPr>
        <w:pStyle w:val="Heading2"/>
      </w:pPr>
      <w:r>
        <w:rPr>
          <w:rFonts w:ascii="Aptos" w:hAnsi="Aptos" w:eastAsia="Microsoft YaHei" w:cs="Noto Sans Khmer"/>
          <w:b w:val="0"/>
          <w:color w:val="2E74B5"/>
          <w:sz w:val="26"/>
        </w:rPr>
        <w:t>2.1 岗位与权限边界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2700"/>
        <w:gridCol w:w="2360"/>
      </w:tblGrid>
      <w:tr>
        <w:trPr>
          <w:tblHeader w:val="true"/>
        </w:trPr>
        <w:tc>
          <w:tcPr>
            <w:tcW w:type="dxa" w:w="160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FFFFFF"/>
                <w:sz w:val="15"/>
              </w:rPr>
              <w:t>岗位</w:t>
            </w:r>
          </w:p>
        </w:tc>
        <w:tc>
          <w:tcPr>
            <w:tcW w:type="dxa" w:w="270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FFFFFF"/>
                <w:sz w:val="15"/>
              </w:rPr>
              <w:t>首期编制/预算</w:t>
            </w:r>
          </w:p>
        </w:tc>
        <w:tc>
          <w:tcPr>
            <w:tcW w:type="dxa" w:w="270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FFFFFF"/>
                <w:sz w:val="15"/>
              </w:rPr>
              <w:t>主要职责</w:t>
            </w:r>
          </w:p>
        </w:tc>
        <w:tc>
          <w:tcPr>
            <w:tcW w:type="dxa" w:w="236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FFFFFF"/>
                <w:sz w:val="15"/>
              </w:rPr>
              <w:t>明确禁止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执行负责人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1 人，USD 6,000/月（预算）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经营、预算、合作方、重大升级审批；启动阶段对产品范围、初期代码构建、测试验收与上线放行负最终责任</w:t>
            </w:r>
          </w:p>
        </w:tc>
        <w:tc>
          <w:tcPr>
            <w:tcW w:type="dxa" w:w="2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绕开双人复核处理资金、以个人账户收款</w:t>
            </w:r>
          </w:p>
        </w:tc>
      </w:tr>
      <w:tr>
        <w:tc>
          <w:tcPr>
            <w:tcW w:type="dxa" w:w="16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产品经理</w:t>
            </w:r>
          </w:p>
        </w:tc>
        <w:tc>
          <w:tcPr>
            <w:tcW w:type="dxa" w:w="27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1 人，USD 2,000–2,500/月；另按合同承担签证/住宿支持</w:t>
            </w:r>
          </w:p>
        </w:tc>
        <w:tc>
          <w:tcPr>
            <w:tcW w:type="dxa" w:w="27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产品、需求、验收、培训材料、数据复盘；启动阶段负责将需求拆成可验证的开发任务，并协同完成初期代码构建与测试</w:t>
            </w:r>
          </w:p>
        </w:tc>
        <w:tc>
          <w:tcPr>
            <w:tcW w:type="dxa" w:w="23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查看超出工作必需的原始 KYC、决定授信/放款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项目助理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1 人，USD 800–1,200/月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三语协调、会议纪要、项目跟进、培训排期</w:t>
            </w:r>
          </w:p>
        </w:tc>
        <w:tc>
          <w:tcPr>
            <w:tcW w:type="dxa" w:w="2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代替有权人审批客户/资金事项</w:t>
            </w:r>
          </w:p>
        </w:tc>
      </w:tr>
      <w:tr>
        <w:tc>
          <w:tcPr>
            <w:tcW w:type="dxa" w:w="16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客服组长</w:t>
            </w:r>
          </w:p>
        </w:tc>
        <w:tc>
          <w:tcPr>
            <w:tcW w:type="dxa" w:w="27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1 人，USD 600/月</w:t>
            </w:r>
          </w:p>
        </w:tc>
        <w:tc>
          <w:tcPr>
            <w:tcW w:type="dxa" w:w="27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排班、质检、升级、培训、SLA 与工单闭环</w:t>
            </w:r>
          </w:p>
        </w:tc>
        <w:tc>
          <w:tcPr>
            <w:tcW w:type="dxa" w:w="23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修改费用、额度、合同、放款或还款核销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客服专员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2 人，USD 300–400/人/月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三语咨询、身份核验后的工单受理、流程提醒</w:t>
            </w:r>
          </w:p>
        </w:tc>
        <w:tc>
          <w:tcPr>
            <w:tcW w:type="dxa" w:w="2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5"/>
              </w:rPr>
              <w:t>索取密码/OTP/完整卡号；承诺审批结果</w:t>
            </w:r>
          </w:p>
        </w:tc>
      </w:tr>
    </w:tbl>
    <w:p>
      <w:pPr>
        <w:pStyle w:val="Heading2"/>
        <w:spacing w:after="120"/>
      </w:pPr>
      <w:r>
        <w:rPr>
          <w:rFonts w:ascii="Aptos" w:hAnsi="Aptos" w:eastAsia="Microsoft YaHei" w:cs="Noto Sans Khmer"/>
          <w:b/>
          <w:color w:val="2E74B5"/>
          <w:sz w:val="26"/>
        </w:rPr>
        <w:t>2.2 产品启动阶段的共同交付职责</w:t>
      </w:r>
    </w:p>
    <w:p>
      <w:pPr>
        <w:spacing w:after="120"/>
      </w:pPr>
      <w:r>
        <w:rPr>
          <w:rFonts w:ascii="Aptos" w:hAnsi="Aptos" w:eastAsia="Microsoft YaHei" w:cs="Noto Sans Khmer"/>
          <w:b w:val="0"/>
          <w:color w:val="000000"/>
          <w:sz w:val="21"/>
        </w:rPr>
        <w:t>首个试点阶段，执行负责人和产品经理不仅负责管理，还共同承担从“产品定义”到“可验证软件”的交付责任：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4200"/>
        <w:gridCol w:w="3660"/>
      </w:tblGrid>
      <w:tr>
        <w:trPr>
          <w:tblHeader w:val="true"/>
        </w:trPr>
        <w:tc>
          <w:tcPr>
            <w:tcW w:type="dxa" w:w="15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角色</w:t>
            </w:r>
          </w:p>
        </w:tc>
        <w:tc>
          <w:tcPr>
            <w:tcW w:type="dxa" w:w="42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启动阶段必须完成</w:t>
            </w:r>
          </w:p>
        </w:tc>
        <w:tc>
          <w:tcPr>
            <w:tcW w:type="dxa" w:w="36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工具使用边界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执行负责人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冻结试点目标、优先级、预算和风险红线；每周复核产品、代码、测试与上线证据；对暂停、返工和放行作最终决定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可使用 Codex、Trae 等工具提高调研、开发和验收效率；不得将工具输出视为无需人工复核的上线结论</w:t>
            </w:r>
          </w:p>
        </w:tc>
      </w:tr>
      <w:tr>
        <w:tc>
          <w:tcPr>
            <w:tcW w:type="dxa" w:w="15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产品经理</w:t>
            </w:r>
          </w:p>
        </w:tc>
        <w:tc>
          <w:tcPr>
            <w:tcW w:type="dxa" w:w="42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输出可验收需求、流程、字段、异常路径和验收标准；拆分并跟进开发任务；参与初期前端/后端代码构建、测试用例、缺陷复现和用户流程验收</w:t>
            </w:r>
          </w:p>
        </w:tc>
        <w:tc>
          <w:tcPr>
            <w:tcW w:type="dxa" w:w="36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可借助 Codex、Trae 生成代码、测试、文档和排障建议；每项产出必须经代码审查、真实命令测试和必要的运行时验证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共同责任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在真实客户数据或资金接入前，完成受控样例流程、权限边界、负向测试、发布清单和回滚预案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不把 AI 工具、模拟数据、静态检查或单次演示等同于生产验收；涉及资金、KYC、合同和个人信息的变更仍需按审批流程执行</w:t>
            </w:r>
          </w:p>
        </w:tc>
      </w:tr>
    </w:tbl>
    <w:p>
      <w:pPr>
        <w:spacing w:after="120"/>
      </w:pPr>
      <w:r>
        <w:rPr>
          <w:rFonts w:ascii="Aptos" w:hAnsi="Aptos" w:eastAsia="Microsoft YaHei" w:cs="Noto Sans Khmer"/>
          <w:b w:val="0"/>
          <w:color w:val="000000"/>
          <w:sz w:val="21"/>
        </w:rPr>
        <w:t>初期代码构建与测试的最低闭环为：需求文档 → 任务拆分 → 实现 → 代码审查 → 类型/单元测试 → 真实数据库或集成验证（如适用）→ 受控用户流程验收 → 发布决定。任何一环缺失都只能标记为“开发中”或“待验收”。</w:t>
      </w:r>
    </w:p>
    <w:p>
      <w:pPr>
        <w:pStyle w:val="Heading2"/>
      </w:pPr>
      <w:r>
        <w:rPr>
          <w:rFonts w:ascii="Aptos" w:hAnsi="Aptos" w:eastAsia="Microsoft YaHei" w:cs="Noto Sans Khmer"/>
          <w:b/>
          <w:color w:val="2E74B5"/>
          <w:sz w:val="26"/>
        </w:rPr>
        <w:t>2.3 首期月度预算基线（待财务确认）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000"/>
        <w:gridCol w:w="1800"/>
        <w:gridCol w:w="4560"/>
      </w:tblGrid>
      <w:tr>
        <w:trPr>
          <w:tblHeader w:val="true"/>
        </w:trPr>
        <w:tc>
          <w:tcPr>
            <w:tcW w:type="dxa" w:w="300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80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FFFFFF"/>
                <w:sz w:val="17"/>
              </w:rPr>
              <w:t>月度金额（USD）</w:t>
            </w:r>
          </w:p>
        </w:tc>
        <w:tc>
          <w:tcPr>
            <w:tcW w:type="dxa" w:w="456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FFFFFF"/>
                <w:sz w:val="17"/>
              </w:rPr>
              <w:t>计算口径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人员固定与已知补贴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10,900–12,100</w:t>
            </w:r>
          </w:p>
        </w:tc>
        <w:tc>
          <w:tcPr>
            <w:tcW w:type="dxa" w:w="45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执行负责人、产品经理及已知签证/住宿支持、项目助理、客服组长、2 名客服；不含雇主法定缴纳、招聘和临时人员</w:t>
            </w:r>
          </w:p>
        </w:tc>
      </w:tr>
      <w:tr>
        <w:tc>
          <w:tcPr>
            <w:tcW w:type="dxa" w:w="30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Codex</w:t>
            </w:r>
          </w:p>
        </w:tc>
        <w:tc>
          <w:tcPr>
            <w:tcW w:type="dxa" w:w="18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400</w:t>
            </w:r>
          </w:p>
        </w:tc>
        <w:tc>
          <w:tcPr>
            <w:tcW w:type="dxa" w:w="45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2 套 × USD 200/月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Claude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45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1 套 × USD 200/月</w:t>
            </w:r>
          </w:p>
        </w:tc>
      </w:tr>
      <w:tr>
        <w:tc>
          <w:tcPr>
            <w:tcW w:type="dxa" w:w="30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手机卡与基础通信</w:t>
            </w:r>
          </w:p>
        </w:tc>
        <w:tc>
          <w:tcPr>
            <w:tcW w:type="dxa" w:w="18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45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3 张 × USD 10/月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000000"/>
                <w:sz w:val="17"/>
              </w:rPr>
              <w:t>已知月度小计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000000"/>
                <w:sz w:val="17"/>
              </w:rPr>
              <w:t>11,530–12,730</w:t>
            </w:r>
          </w:p>
        </w:tc>
        <w:tc>
          <w:tcPr>
            <w:tcW w:type="dxa" w:w="4560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000000"/>
                <w:sz w:val="17"/>
              </w:rPr>
              <w:t>不含下列待确认的日常运营成本</w:t>
            </w:r>
          </w:p>
        </w:tc>
      </w:tr>
    </w:tbl>
    <w:p>
      <w:pPr>
        <w:spacing w:before="100"/>
      </w:pPr>
      <w:r>
        <w:rPr>
          <w:rFonts w:ascii="Aptos" w:hAnsi="Aptos" w:eastAsia="Microsoft YaHei" w:cs="Noto Sans Khmer"/>
          <w:b w:val="0"/>
          <w:color w:val="000000"/>
          <w:sz w:val="19"/>
        </w:rPr>
        <w:t>尚未纳入且必须单列预算：办公场地/水电网络、电脑和受管设备、云资源与数据库备份、域名/短信/通知渠道、法务与合规顾问、会计税务、招聘、培训、差旅、营销、保险、不可预见支出及雇主法定缴纳。工具订阅只能用于受控开发、测试与文档工作，不得输入真实客户身份资料、银行卡信息、合同原件、密钥或生产配置。</w:t>
      </w:r>
    </w:p>
    <w:p>
      <w:pPr>
        <w:spacing w:after="60"/>
      </w:pPr>
    </w:p>
    <w:p>
      <w:r>
        <w:rPr>
          <w:rFonts w:ascii="Aptos" w:hAnsi="Aptos" w:eastAsia="Microsoft YaHei" w:cs="Noto Sans Khmer"/>
          <w:b w:val="0"/>
          <w:color w:val="000000"/>
          <w:sz w:val="21"/>
        </w:rPr>
        <w:t>以上为首期预算，不是劳动合同承诺；试用期、税前/税后口径、签证、住宿、法定福利、加班、假期和终止条件必须在当地合规劳动合同中明确。</w:t>
      </w:r>
    </w:p>
    <w:p>
      <w:pPr>
        <w:pStyle w:val="Heading1"/>
      </w:pPr>
      <w:r>
        <w:rPr>
          <w:rFonts w:ascii="Aptos" w:hAnsi="Aptos" w:eastAsia="Microsoft YaHei" w:cs="Noto Sans Khmer"/>
          <w:b w:val="0"/>
          <w:color w:val="2E74B5"/>
          <w:sz w:val="32"/>
        </w:rPr>
        <w:t>3. 招聘与入职</w:t>
      </w:r>
    </w:p>
    <w:p>
      <w:pPr>
        <w:pStyle w:val="Heading2"/>
      </w:pPr>
      <w:r>
        <w:rPr>
          <w:rFonts w:ascii="Aptos" w:hAnsi="Aptos" w:eastAsia="Microsoft YaHei" w:cs="Noto Sans Khmer"/>
          <w:b w:val="0"/>
          <w:color w:val="2E74B5"/>
          <w:sz w:val="26"/>
        </w:rPr>
        <w:t>3.1 项目助理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可用中文、高棉语和英语完成日常口头及书面沟通。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熟练使用电脑与常用办公软件，能维护任务清单、会议纪要、培训记录和受控表格。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具备基础协调和现场管理能力：能推动负责人、记录阻塞、按时升级，而不是替他人作决定。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入职前完成：身份与推荐人核验、保密/数据保护承诺、信息安全培训和反欺诈培训。</w:t>
      </w:r>
    </w:p>
    <w:p>
      <w:pPr>
        <w:pStyle w:val="Heading2"/>
      </w:pPr>
      <w:r>
        <w:rPr>
          <w:rFonts w:ascii="Aptos" w:hAnsi="Aptos" w:eastAsia="Microsoft YaHei" w:cs="Noto Sans Khmer"/>
          <w:b w:val="0"/>
          <w:color w:val="2E74B5"/>
          <w:sz w:val="26"/>
        </w:rPr>
        <w:t>3.2 客服组长与客服专员</w:t>
      </w:r>
    </w:p>
    <w:p>
      <w:r>
        <w:rPr>
          <w:rFonts w:ascii="Aptos" w:hAnsi="Aptos" w:eastAsia="Microsoft YaHei" w:cs="Noto Sans Khmer"/>
          <w:b w:val="0"/>
          <w:color w:val="000000"/>
          <w:sz w:val="21"/>
        </w:rPr>
        <w:t>岗位条件、培训和禁止性行为详见同目录的《KHMERX_客服SOP与初始话术》。客服组长需要高棉语母语或等效工作能力，并能用中文、英语与管理层沟通；客服专员至少能以高棉语稳定服务，具备基础中文或英语沟通能力。</w:t>
      </w:r>
    </w:p>
    <w:p>
      <w:pPr>
        <w:pStyle w:val="Heading1"/>
      </w:pPr>
      <w:r>
        <w:rPr>
          <w:rFonts w:ascii="Aptos" w:hAnsi="Aptos" w:eastAsia="Microsoft YaHei" w:cs="Noto Sans Khmer"/>
          <w:b w:val="0"/>
          <w:color w:val="2E74B5"/>
          <w:sz w:val="32"/>
        </w:rPr>
        <w:t>4. 工作、考勤与沟通制度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首期客服服务时段：08:00–18:00（柬埔寨时间）；排班、休息、加班、节假日和法定休假以经当地顾问确认的劳动合同与排班表为准。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工作时间内使用公司批准的账号、设备、工单和文件空间；远程访问仅允许从受管设备和经批准网络进行。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迟到、缺勤、调班、病假和紧急情况须向直属负责人报告；记录应最小化，不要求员工在群聊公开健康或家庭隐私。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中文、英语和高棉语文案出现歧义时，以经审核的高棉语用户模板为准，并由客服组长升级确认。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任何利益冲突、亲属申请、企业 HR/合作方私下索取资料、疑似贿赂或胁迫，均须立即停止处理并升级执行负责人和合规联系人。</w:t>
      </w:r>
    </w:p>
    <w:p>
      <w:pPr>
        <w:pStyle w:val="Heading1"/>
      </w:pPr>
      <w:r>
        <w:rPr>
          <w:rFonts w:ascii="Aptos" w:hAnsi="Aptos" w:eastAsia="Microsoft YaHei" w:cs="Noto Sans Khmer"/>
          <w:b w:val="0"/>
          <w:color w:val="2E74B5"/>
          <w:sz w:val="32"/>
        </w:rPr>
        <w:t>5. 薪资、奖励与绩效</w:t>
      </w:r>
    </w:p>
    <w:p>
      <w:pPr>
        <w:pStyle w:val="Heading2"/>
      </w:pPr>
      <w:r>
        <w:rPr>
          <w:rFonts w:ascii="Aptos" w:hAnsi="Aptos" w:eastAsia="Microsoft YaHei" w:cs="Noto Sans Khmer"/>
          <w:b w:val="0"/>
          <w:color w:val="2E74B5"/>
          <w:sz w:val="26"/>
        </w:rPr>
        <w:t>5.1 薪资原则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固定薪资按当地劳动合同约定周期支付；薪资、补贴、税费和法定缴纳项目应提供可核对记录。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不用客户借款额、放款额、服务费收取额、拒绝率、投诉压低率作为客服或 HR 的个人提成指标。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任何奖金都不能改变员工拒绝违规指令、报告问题或暂停高风险工单的权利。</w:t>
      </w:r>
    </w:p>
    <w:p>
      <w:pPr>
        <w:pStyle w:val="Heading2"/>
      </w:pPr>
      <w:r>
        <w:rPr>
          <w:rFonts w:ascii="Aptos" w:hAnsi="Aptos" w:eastAsia="Microsoft YaHei" w:cs="Noto Sans Khmer"/>
          <w:b w:val="0"/>
          <w:color w:val="2E74B5"/>
          <w:sz w:val="26"/>
        </w:rPr>
        <w:t>5.2 月度绩效奖励建议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FFFFFF"/>
                <w:sz w:val="16"/>
              </w:rPr>
              <w:t>维度</w:t>
            </w:r>
          </w:p>
        </w:tc>
        <w:tc>
          <w:tcPr>
            <w:tcW w:type="dxa" w:w="312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FFFFFF"/>
                <w:sz w:val="16"/>
              </w:rPr>
              <w:t>参考权重</w:t>
            </w:r>
          </w:p>
        </w:tc>
        <w:tc>
          <w:tcPr>
            <w:tcW w:type="dxa" w:w="3120"/>
            <w:shd w:fill="1F4D78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FFFFFF"/>
                <w:sz w:val="16"/>
              </w:rPr>
              <w:t>合格证据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服务质量与时效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35%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抽检准确、SLA 达标、无虚假承诺</w:t>
            </w:r>
          </w:p>
        </w:tc>
      </w:tr>
      <w:tr>
        <w:tc>
          <w:tcPr>
            <w:tcW w:type="dxa" w:w="312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合规与数据安全</w:t>
            </w:r>
          </w:p>
        </w:tc>
        <w:tc>
          <w:tcPr>
            <w:tcW w:type="dxa" w:w="312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35%</w:t>
            </w:r>
          </w:p>
        </w:tc>
        <w:tc>
          <w:tcPr>
            <w:tcW w:type="dxa" w:w="312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无严重违规；正确升级敏感事项；完成培训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协作与记录质量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20%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工单字段完整、交接清楚、跨语言误解少</w:t>
            </w:r>
          </w:p>
        </w:tc>
      </w:tr>
      <w:tr>
        <w:tc>
          <w:tcPr>
            <w:tcW w:type="dxa" w:w="312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改进贡献</w:t>
            </w:r>
          </w:p>
        </w:tc>
        <w:tc>
          <w:tcPr>
            <w:tcW w:type="dxa" w:w="312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312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6"/>
              </w:rPr>
              <w:t>被采纳的 FAQ、流程改进或风险提示</w:t>
            </w:r>
          </w:p>
        </w:tc>
      </w:tr>
    </w:tbl>
    <w:p>
      <w:pPr>
        <w:spacing w:after="60"/>
      </w:pP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建议月度浮动奖励上限为该岗位月固定薪资的 10%–20%，由负责人和非直接主管双人复核。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重大违规、伪造记录、泄露数据、绕过审批、索取或记录密码/OTP/完整银行卡号，当月不参与奖励，并按劳动合同、调查程序和当地法律处理。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奖励结论必须有可审计证据，员工可在合理时限内提出复核；不得以口头印象替代记录。</w:t>
      </w:r>
    </w:p>
    <w:p>
      <w:pPr>
        <w:pStyle w:val="Heading1"/>
      </w:pPr>
      <w:r>
        <w:rPr>
          <w:rFonts w:ascii="Aptos" w:hAnsi="Aptos" w:eastAsia="Microsoft YaHei" w:cs="Noto Sans Khmer"/>
          <w:b w:val="0"/>
          <w:color w:val="2E74B5"/>
          <w:sz w:val="32"/>
        </w:rPr>
        <w:t>6. 培训、试用与晋升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入职首周完成：产品边界、客服 SOP、三语话术、隐私与反诈骗、投诉升级、信息安全、反歧视与反骚扰培训。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试用期以当地劳动合同为准。试用评估至少基于培训通过、模拟工单、服务质量和合规表现，不以借款转化作为唯一标准。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晋升或调岗前复核语言能力、记录质量、合规记录和岗位最小权限；先撤旧权限，再授新权限。</w:t>
      </w:r>
    </w:p>
    <w:p>
      <w:pPr>
        <w:pStyle w:val="Heading1"/>
      </w:pPr>
      <w:r>
        <w:rPr>
          <w:rFonts w:ascii="Aptos" w:hAnsi="Aptos" w:eastAsia="Microsoft YaHei" w:cs="Noto Sans Khmer"/>
          <w:b w:val="0"/>
          <w:color w:val="2E74B5"/>
          <w:sz w:val="32"/>
        </w:rPr>
        <w:t>7. 纪律、申诉与退出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处分应当事实清楚、比例适当、记录可追溯，并给予员工陈述与申诉渠道；涉及劳动法的调查和处分先由当地顾问复核。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员工可向执行负责人或指定的独立联系人报告骚扰、歧视、安全事件、舞弊或不当指令；禁止报复。</w:t>
      </w:r>
    </w:p>
    <w:p>
      <w:pPr>
        <w:pStyle w:val="ListNumber"/>
      </w:pPr>
      <w:r>
        <w:rPr>
          <w:rFonts w:ascii="Aptos" w:hAnsi="Aptos" w:eastAsia="Microsoft YaHei" w:cs="Noto Sans Khmer"/>
          <w:b w:val="0"/>
          <w:color w:val="000000"/>
          <w:sz w:val="21"/>
        </w:rPr>
        <w:t>离职、调岗或长期休假时，先撤销系统和群组权限、收回设备、完成工单交接，再办理其余行政流程。</w:t>
      </w:r>
    </w:p>
    <w:p>
      <w:pPr>
        <w:pStyle w:val="Heading1"/>
      </w:pPr>
      <w:r>
        <w:rPr>
          <w:rFonts w:ascii="Aptos" w:hAnsi="Aptos" w:eastAsia="Microsoft YaHei" w:cs="Noto Sans Khmer"/>
          <w:b w:val="0"/>
          <w:color w:val="2E74B5"/>
          <w:sz w:val="32"/>
        </w:rPr>
        <w:t>8. 上线前法务核对清单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[ ] 劳动合同版本、试用期、工资支付、工时、加班、休息与假期经柬埔寨劳动法律师确认。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[ ] 签证、工作许可、税务、社保/登记及外籍员工安排经专业顾问确认。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[ ] 奖金、纪律、申诉和反骚扰机制经当地 HR 顾问确认。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[ ] 员工保密、个人信息处理、设备使用、离职权限回收条款已纳入入职文件。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[ ] 三语员工手册由具备业务语境的译者复核；不可用机器翻译直接作为唯一正式版本。</w:t>
      </w:r>
    </w:p>
    <w:p>
      <w:pPr>
        <w:pStyle w:val="Heading1"/>
      </w:pPr>
      <w:r>
        <w:rPr>
          <w:rFonts w:ascii="Aptos" w:hAnsi="Aptos" w:eastAsia="Microsoft YaHei" w:cs="Noto Sans Khmer"/>
          <w:b w:val="0"/>
          <w:color w:val="2E74B5"/>
          <w:sz w:val="32"/>
        </w:rPr>
        <w:t>9. 参考资料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柬埔寨劳动主管部门：Ministry of Labour and Vocational Training。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柬埔寨政府资料库所载 Law on the Labor (1997)。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 w:cs="Noto Sans Khmer"/>
        <w:b w:val="0"/>
        <w:color w:val="5B6573"/>
        <w:sz w:val="16"/>
      </w:rPr>
      <w:t>内部试点文件 | 需经当地法务与合规复核后生效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 w:cs="Noto Sans Khmer"/>
        <w:b w:val="0"/>
        <w:color w:val="5B6573"/>
        <w:sz w:val="17"/>
      </w:rPr>
      <w:t>KhmerX | KhmerX 首期组织架构与员工制度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Microsoft YaHei" w:cs="Noto Sans Khm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 w:eastAsia="Microsoft YaHei" w:cs="Noto Sans Khme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 w:cs="Noto Sans Khme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 w:cs="Noto Sans Khmer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KhmerX 首期组织架构与员工制度</dc:title>
  <dc:subject>组织、薪酬激励、员工管理与合规边界</dc:subject>
  <dc:creator>KhmerX</dc:creator>
  <cp:keywords/>
  <dc:description>Internal pilot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