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E9CA" w14:textId="5976795E" w:rsidR="004C6EF9" w:rsidRPr="004E1BD7" w:rsidRDefault="004C6EF9" w:rsidP="004E1BD7">
      <w:pPr>
        <w:jc w:val="center"/>
        <w:rPr>
          <w:b/>
          <w:bCs/>
          <w:sz w:val="48"/>
          <w:szCs w:val="48"/>
          <w:lang w:val="en-US"/>
        </w:rPr>
      </w:pPr>
      <w:r w:rsidRPr="004C6EF9">
        <w:rPr>
          <w:b/>
          <w:bCs/>
          <w:sz w:val="48"/>
          <w:szCs w:val="48"/>
          <w:lang w:val="en-US"/>
        </w:rPr>
        <w:t>Business Summary Report: Predictive Insights for Collections Strategy</w:t>
      </w:r>
    </w:p>
    <w:p w14:paraId="7E4BB199" w14:textId="48ADEF3B" w:rsidR="004C6EF9" w:rsidRDefault="004C6EF9" w:rsidP="004C6EF9">
      <w:pPr>
        <w:rPr>
          <w:b/>
          <w:bCs/>
          <w:sz w:val="32"/>
          <w:szCs w:val="32"/>
          <w:lang w:val="en-US"/>
        </w:rPr>
      </w:pPr>
      <w:r w:rsidRPr="004C6EF9">
        <w:rPr>
          <w:b/>
          <w:bCs/>
          <w:sz w:val="32"/>
          <w:szCs w:val="32"/>
          <w:lang w:val="en-US"/>
        </w:rPr>
        <w:t>1.Summary of Predictive Insights</w:t>
      </w:r>
    </w:p>
    <w:p w14:paraId="34D873D4" w14:textId="77777777" w:rsidR="004C6EF9" w:rsidRPr="004C6EF9" w:rsidRDefault="004C6EF9" w:rsidP="004C6EF9">
      <w:pPr>
        <w:rPr>
          <w:sz w:val="24"/>
          <w:szCs w:val="24"/>
        </w:rPr>
      </w:pPr>
      <w:r w:rsidRPr="004C6EF9">
        <w:rPr>
          <w:sz w:val="24"/>
          <w:szCs w:val="24"/>
        </w:rPr>
        <w:t xml:space="preserve">The combined analysis of exploratory data assessment and predictive </w:t>
      </w:r>
      <w:proofErr w:type="spellStart"/>
      <w:r w:rsidRPr="004C6EF9">
        <w:rPr>
          <w:sz w:val="24"/>
          <w:szCs w:val="24"/>
        </w:rPr>
        <w:t>modeling</w:t>
      </w:r>
      <w:proofErr w:type="spellEnd"/>
      <w:r w:rsidRPr="004C6EF9">
        <w:rPr>
          <w:sz w:val="24"/>
          <w:szCs w:val="24"/>
        </w:rPr>
        <w:t xml:space="preserve"> revealed several critical </w:t>
      </w:r>
      <w:proofErr w:type="spellStart"/>
      <w:r w:rsidRPr="004C6EF9">
        <w:rPr>
          <w:sz w:val="24"/>
          <w:szCs w:val="24"/>
        </w:rPr>
        <w:t>behavioral</w:t>
      </w:r>
      <w:proofErr w:type="spellEnd"/>
      <w:r w:rsidRPr="004C6EF9">
        <w:rPr>
          <w:sz w:val="24"/>
          <w:szCs w:val="24"/>
        </w:rPr>
        <w:t xml:space="preserve"> patterns among customers:</w:t>
      </w:r>
    </w:p>
    <w:p w14:paraId="6EE06E52" w14:textId="77777777" w:rsidR="004C6EF9" w:rsidRPr="004C6EF9" w:rsidRDefault="004C6EF9" w:rsidP="004C6EF9">
      <w:pPr>
        <w:numPr>
          <w:ilvl w:val="0"/>
          <w:numId w:val="1"/>
        </w:numPr>
        <w:rPr>
          <w:sz w:val="24"/>
          <w:szCs w:val="24"/>
        </w:rPr>
      </w:pPr>
      <w:r w:rsidRPr="004C6EF9">
        <w:rPr>
          <w:b/>
          <w:bCs/>
          <w:sz w:val="24"/>
          <w:szCs w:val="24"/>
        </w:rPr>
        <w:t>Customers below 30 years of age</w:t>
      </w:r>
      <w:r w:rsidRPr="004C6EF9">
        <w:rPr>
          <w:sz w:val="24"/>
          <w:szCs w:val="24"/>
        </w:rPr>
        <w:t xml:space="preserve"> who have </w:t>
      </w:r>
      <w:r w:rsidRPr="004C6EF9">
        <w:rPr>
          <w:b/>
          <w:bCs/>
          <w:sz w:val="24"/>
          <w:szCs w:val="24"/>
        </w:rPr>
        <w:t>two or more missed payments</w:t>
      </w:r>
      <w:r w:rsidRPr="004C6EF9">
        <w:rPr>
          <w:sz w:val="24"/>
          <w:szCs w:val="24"/>
        </w:rPr>
        <w:t xml:space="preserve"> and maintain </w:t>
      </w:r>
      <w:r w:rsidRPr="004C6EF9">
        <w:rPr>
          <w:b/>
          <w:bCs/>
          <w:sz w:val="24"/>
          <w:szCs w:val="24"/>
        </w:rPr>
        <w:t>credit utilization above 50%</w:t>
      </w:r>
      <w:r w:rsidRPr="004C6EF9">
        <w:rPr>
          <w:sz w:val="24"/>
          <w:szCs w:val="24"/>
        </w:rPr>
        <w:t xml:space="preserve"> exhibit a significantly higher probability of delinquency.</w:t>
      </w:r>
    </w:p>
    <w:p w14:paraId="32F5259E" w14:textId="77777777" w:rsidR="004C6EF9" w:rsidRPr="004C6EF9" w:rsidRDefault="004C6EF9" w:rsidP="004C6EF9">
      <w:pPr>
        <w:numPr>
          <w:ilvl w:val="0"/>
          <w:numId w:val="1"/>
        </w:numPr>
        <w:rPr>
          <w:sz w:val="24"/>
          <w:szCs w:val="24"/>
        </w:rPr>
      </w:pPr>
      <w:r w:rsidRPr="004C6EF9">
        <w:rPr>
          <w:sz w:val="24"/>
          <w:szCs w:val="24"/>
        </w:rPr>
        <w:t xml:space="preserve">A </w:t>
      </w:r>
      <w:r w:rsidRPr="004C6EF9">
        <w:rPr>
          <w:b/>
          <w:bCs/>
          <w:sz w:val="24"/>
          <w:szCs w:val="24"/>
        </w:rPr>
        <w:t>high debt-to-income ratio (greater than 0.5)</w:t>
      </w:r>
      <w:r w:rsidRPr="004C6EF9">
        <w:rPr>
          <w:sz w:val="24"/>
          <w:szCs w:val="24"/>
        </w:rPr>
        <w:t xml:space="preserve"> shows a consistent and strong association with delayed or missed payments, indicating potential over-leverage.</w:t>
      </w:r>
    </w:p>
    <w:p w14:paraId="01B0F28C" w14:textId="77777777" w:rsidR="004C6EF9" w:rsidRPr="004C6EF9" w:rsidRDefault="004C6EF9" w:rsidP="004C6EF9">
      <w:pPr>
        <w:numPr>
          <w:ilvl w:val="0"/>
          <w:numId w:val="1"/>
        </w:numPr>
        <w:rPr>
          <w:sz w:val="24"/>
          <w:szCs w:val="24"/>
        </w:rPr>
      </w:pPr>
      <w:r w:rsidRPr="004C6EF9">
        <w:rPr>
          <w:b/>
          <w:bCs/>
          <w:sz w:val="24"/>
          <w:szCs w:val="24"/>
        </w:rPr>
        <w:t>New customers</w:t>
      </w:r>
      <w:r w:rsidRPr="004C6EF9">
        <w:rPr>
          <w:sz w:val="24"/>
          <w:szCs w:val="24"/>
        </w:rPr>
        <w:t xml:space="preserve"> with an </w:t>
      </w:r>
      <w:r w:rsidRPr="004C6EF9">
        <w:rPr>
          <w:b/>
          <w:bCs/>
          <w:sz w:val="24"/>
          <w:szCs w:val="24"/>
        </w:rPr>
        <w:t>account tenure of less than 12 months</w:t>
      </w:r>
      <w:r w:rsidRPr="004C6EF9">
        <w:rPr>
          <w:sz w:val="24"/>
          <w:szCs w:val="24"/>
        </w:rPr>
        <w:t xml:space="preserve"> generally demonstrate weaker repayment discipline, suggesting limited credit experience or instability in financial </w:t>
      </w:r>
      <w:proofErr w:type="spellStart"/>
      <w:r w:rsidRPr="004C6EF9">
        <w:rPr>
          <w:sz w:val="24"/>
          <w:szCs w:val="24"/>
        </w:rPr>
        <w:t>behavior</w:t>
      </w:r>
      <w:proofErr w:type="spellEnd"/>
      <w:r w:rsidRPr="004C6EF9">
        <w:rPr>
          <w:sz w:val="24"/>
          <w:szCs w:val="24"/>
        </w:rPr>
        <w:t>.</w:t>
      </w:r>
    </w:p>
    <w:p w14:paraId="7C5597A8" w14:textId="77777777" w:rsidR="004C6EF9" w:rsidRPr="004C6EF9" w:rsidRDefault="004C6EF9" w:rsidP="004C6EF9">
      <w:pPr>
        <w:rPr>
          <w:sz w:val="28"/>
          <w:szCs w:val="28"/>
        </w:rPr>
      </w:pPr>
      <w:r w:rsidRPr="004C6EF9">
        <w:rPr>
          <w:sz w:val="24"/>
          <w:szCs w:val="24"/>
        </w:rPr>
        <w:t>These findings highlight the need for proactive monitoring and targeted engagement strategies, particularly among high-risk customer groups identified</w:t>
      </w:r>
      <w:r w:rsidRPr="004C6EF9">
        <w:rPr>
          <w:sz w:val="28"/>
          <w:szCs w:val="28"/>
        </w:rPr>
        <w:t xml:space="preserve"> </w:t>
      </w:r>
      <w:r w:rsidRPr="004C6EF9">
        <w:rPr>
          <w:sz w:val="24"/>
          <w:szCs w:val="24"/>
        </w:rPr>
        <w:t>through the analysis.</w:t>
      </w:r>
    </w:p>
    <w:p w14:paraId="7AA80E14" w14:textId="77777777" w:rsidR="004C6EF9" w:rsidRPr="004C6EF9" w:rsidRDefault="004C6EF9" w:rsidP="004C6EF9">
      <w:pPr>
        <w:rPr>
          <w:sz w:val="28"/>
          <w:szCs w:val="28"/>
        </w:rPr>
      </w:pPr>
      <w:r w:rsidRPr="004C6EF9">
        <w:rPr>
          <w:sz w:val="28"/>
          <w:szCs w:val="28"/>
        </w:rPr>
        <w:pict w14:anchorId="5085B75E">
          <v:rect id="_x0000_i1031" style="width:0;height:1.5pt" o:hralign="center" o:hrstd="t" o:hr="t" fillcolor="#a0a0a0" stroked="f"/>
        </w:pict>
      </w:r>
    </w:p>
    <w:p w14:paraId="1C310463" w14:textId="77777777" w:rsidR="004C6EF9" w:rsidRPr="004E1BD7" w:rsidRDefault="004C6EF9" w:rsidP="004C6EF9">
      <w:pPr>
        <w:rPr>
          <w:b/>
          <w:bCs/>
          <w:sz w:val="28"/>
          <w:szCs w:val="28"/>
        </w:rPr>
      </w:pPr>
      <w:r w:rsidRPr="004C6EF9">
        <w:rPr>
          <w:b/>
          <w:bCs/>
          <w:sz w:val="28"/>
          <w:szCs w:val="28"/>
        </w:rPr>
        <w:t>Key Insights Summary</w:t>
      </w:r>
    </w:p>
    <w:p w14:paraId="43B2E6B7" w14:textId="6D8BB6A3" w:rsidR="004C6EF9" w:rsidRPr="004E1BD7" w:rsidRDefault="004C6EF9" w:rsidP="004C6EF9">
      <w:pPr>
        <w:rPr>
          <w:b/>
          <w:bCs/>
          <w:sz w:val="24"/>
          <w:szCs w:val="24"/>
        </w:rPr>
      </w:pPr>
      <w:r w:rsidRPr="004E1BD7">
        <w:rPr>
          <w:b/>
          <w:bCs/>
          <w:sz w:val="24"/>
          <w:szCs w:val="24"/>
        </w:rPr>
        <w:t>Key Insight</w:t>
      </w:r>
      <w:r w:rsidR="004E1BD7" w:rsidRPr="004E1BD7">
        <w:rPr>
          <w:b/>
          <w:bCs/>
          <w:sz w:val="24"/>
          <w:szCs w:val="24"/>
        </w:rPr>
        <w:t xml:space="preserve">           </w:t>
      </w:r>
      <w:r w:rsidR="004E1BD7">
        <w:rPr>
          <w:b/>
          <w:bCs/>
          <w:sz w:val="24"/>
          <w:szCs w:val="24"/>
        </w:rPr>
        <w:t xml:space="preserve">     </w:t>
      </w:r>
      <w:r w:rsidR="004E1BD7" w:rsidRPr="004E1BD7">
        <w:rPr>
          <w:b/>
          <w:bCs/>
          <w:sz w:val="24"/>
          <w:szCs w:val="24"/>
        </w:rPr>
        <w:t>Customer Segment</w:t>
      </w:r>
      <w:r w:rsidR="004E1BD7" w:rsidRPr="004E1BD7">
        <w:rPr>
          <w:b/>
          <w:bCs/>
          <w:sz w:val="24"/>
          <w:szCs w:val="24"/>
        </w:rPr>
        <w:t xml:space="preserve">     </w:t>
      </w:r>
      <w:r w:rsidR="004E1BD7">
        <w:rPr>
          <w:b/>
          <w:bCs/>
          <w:sz w:val="24"/>
          <w:szCs w:val="24"/>
        </w:rPr>
        <w:t xml:space="preserve">       </w:t>
      </w:r>
      <w:r w:rsidR="004E1BD7" w:rsidRPr="004E1BD7">
        <w:rPr>
          <w:b/>
          <w:bCs/>
          <w:sz w:val="24"/>
          <w:szCs w:val="24"/>
        </w:rPr>
        <w:t>Influencing Variables</w:t>
      </w:r>
      <w:r w:rsidR="004E1BD7" w:rsidRPr="004E1BD7">
        <w:rPr>
          <w:b/>
          <w:bCs/>
          <w:sz w:val="24"/>
          <w:szCs w:val="24"/>
        </w:rPr>
        <w:t xml:space="preserve">     </w:t>
      </w:r>
      <w:r w:rsidR="004E1BD7">
        <w:rPr>
          <w:b/>
          <w:bCs/>
          <w:sz w:val="24"/>
          <w:szCs w:val="24"/>
        </w:rPr>
        <w:t xml:space="preserve">   </w:t>
      </w:r>
      <w:r w:rsidR="004E1BD7" w:rsidRPr="004E1BD7">
        <w:rPr>
          <w:b/>
          <w:bCs/>
          <w:sz w:val="24"/>
          <w:szCs w:val="24"/>
        </w:rPr>
        <w:t xml:space="preserve">Potential </w:t>
      </w:r>
      <w:r w:rsidR="004E1BD7">
        <w:rPr>
          <w:b/>
          <w:bCs/>
          <w:sz w:val="24"/>
          <w:szCs w:val="24"/>
        </w:rPr>
        <w:t>Impact</w:t>
      </w:r>
    </w:p>
    <w:p w14:paraId="0DD45BA0" w14:textId="38E33E92" w:rsidR="004C6EF9" w:rsidRPr="004E1BD7" w:rsidRDefault="004C6EF9" w:rsidP="004C6EF9">
      <w:pPr>
        <w:rPr>
          <w:sz w:val="24"/>
          <w:szCs w:val="24"/>
        </w:rPr>
      </w:pPr>
      <w:r w:rsidRPr="004E1BD7">
        <w:rPr>
          <w:sz w:val="24"/>
          <w:szCs w:val="24"/>
        </w:rPr>
        <w:t>Customers with</w:t>
      </w:r>
      <w:r w:rsidRPr="004E1BD7">
        <w:rPr>
          <w:sz w:val="24"/>
          <w:szCs w:val="24"/>
        </w:rPr>
        <w:t xml:space="preserve"> </w:t>
      </w:r>
      <w:r w:rsidR="004E1BD7">
        <w:rPr>
          <w:sz w:val="24"/>
          <w:szCs w:val="24"/>
        </w:rPr>
        <w:t xml:space="preserve">       </w:t>
      </w:r>
      <w:r w:rsidR="004E1BD7" w:rsidRPr="004E1BD7">
        <w:rPr>
          <w:sz w:val="24"/>
          <w:szCs w:val="24"/>
        </w:rPr>
        <w:t xml:space="preserve">Under 30 years </w:t>
      </w:r>
      <w:proofErr w:type="gramStart"/>
      <w:r w:rsidR="004E1BD7" w:rsidRPr="004E1BD7">
        <w:rPr>
          <w:sz w:val="24"/>
          <w:szCs w:val="24"/>
        </w:rPr>
        <w:t xml:space="preserve">old, </w:t>
      </w:r>
      <w:r w:rsidR="004E1BD7">
        <w:rPr>
          <w:sz w:val="24"/>
          <w:szCs w:val="24"/>
        </w:rPr>
        <w:t xml:space="preserve">  </w:t>
      </w:r>
      <w:proofErr w:type="gramEnd"/>
      <w:r w:rsidR="004E1BD7">
        <w:rPr>
          <w:sz w:val="24"/>
          <w:szCs w:val="24"/>
        </w:rPr>
        <w:t xml:space="preserve">         </w:t>
      </w:r>
      <w:r w:rsidR="004E1BD7" w:rsidRPr="004E1BD7">
        <w:rPr>
          <w:sz w:val="24"/>
          <w:szCs w:val="24"/>
        </w:rPr>
        <w:t xml:space="preserve">Missed </w:t>
      </w:r>
      <w:proofErr w:type="gramStart"/>
      <w:r w:rsidR="004E1BD7" w:rsidRPr="004E1BD7">
        <w:rPr>
          <w:sz w:val="24"/>
          <w:szCs w:val="24"/>
        </w:rPr>
        <w:t xml:space="preserve">Payments, </w:t>
      </w:r>
      <w:r w:rsidR="004E1BD7">
        <w:rPr>
          <w:sz w:val="24"/>
          <w:szCs w:val="24"/>
        </w:rPr>
        <w:t xml:space="preserve">  </w:t>
      </w:r>
      <w:proofErr w:type="gramEnd"/>
      <w:r w:rsidR="004E1BD7">
        <w:rPr>
          <w:sz w:val="24"/>
          <w:szCs w:val="24"/>
        </w:rPr>
        <w:t xml:space="preserve">          </w:t>
      </w:r>
      <w:r w:rsidR="004E1BD7" w:rsidRPr="004E1BD7">
        <w:rPr>
          <w:sz w:val="24"/>
          <w:szCs w:val="24"/>
        </w:rPr>
        <w:t xml:space="preserve">Targeted </w:t>
      </w:r>
    </w:p>
    <w:p w14:paraId="709956EB" w14:textId="1A133903" w:rsidR="004C6EF9" w:rsidRPr="004E1BD7" w:rsidRDefault="004C6EF9" w:rsidP="004C6EF9">
      <w:pPr>
        <w:rPr>
          <w:sz w:val="24"/>
          <w:szCs w:val="24"/>
        </w:rPr>
      </w:pPr>
      <w:r w:rsidRPr="004E1BD7">
        <w:rPr>
          <w:sz w:val="24"/>
          <w:szCs w:val="24"/>
        </w:rPr>
        <w:t xml:space="preserve">high credit </w:t>
      </w:r>
      <w:r w:rsidR="004E1BD7">
        <w:rPr>
          <w:sz w:val="24"/>
          <w:szCs w:val="24"/>
        </w:rPr>
        <w:t xml:space="preserve">               </w:t>
      </w:r>
      <w:r w:rsidR="004E1BD7" w:rsidRPr="004E1BD7">
        <w:rPr>
          <w:sz w:val="24"/>
          <w:szCs w:val="24"/>
        </w:rPr>
        <w:t xml:space="preserve">2+ missed </w:t>
      </w:r>
      <w:proofErr w:type="gramStart"/>
      <w:r w:rsidR="004E1BD7" w:rsidRPr="004E1BD7">
        <w:rPr>
          <w:sz w:val="24"/>
          <w:szCs w:val="24"/>
        </w:rPr>
        <w:t xml:space="preserve">payments, </w:t>
      </w:r>
      <w:r w:rsidR="004E1BD7">
        <w:rPr>
          <w:sz w:val="24"/>
          <w:szCs w:val="24"/>
        </w:rPr>
        <w:t xml:space="preserve">  </w:t>
      </w:r>
      <w:proofErr w:type="gramEnd"/>
      <w:r w:rsidR="004E1BD7">
        <w:rPr>
          <w:sz w:val="24"/>
          <w:szCs w:val="24"/>
        </w:rPr>
        <w:t xml:space="preserve">       </w:t>
      </w:r>
      <w:r w:rsidR="004E1BD7" w:rsidRPr="004E1BD7">
        <w:rPr>
          <w:sz w:val="24"/>
          <w:szCs w:val="24"/>
        </w:rPr>
        <w:t xml:space="preserve">Credit Utilization, </w:t>
      </w:r>
      <w:proofErr w:type="gramStart"/>
      <w:r w:rsidR="004E1BD7" w:rsidRPr="004E1BD7">
        <w:rPr>
          <w:sz w:val="24"/>
          <w:szCs w:val="24"/>
        </w:rPr>
        <w:t xml:space="preserve">Age, </w:t>
      </w:r>
      <w:r w:rsidR="004E1BD7">
        <w:rPr>
          <w:sz w:val="24"/>
          <w:szCs w:val="24"/>
        </w:rPr>
        <w:t xml:space="preserve">  </w:t>
      </w:r>
      <w:proofErr w:type="gramEnd"/>
      <w:r w:rsidR="004E1BD7">
        <w:rPr>
          <w:sz w:val="24"/>
          <w:szCs w:val="24"/>
        </w:rPr>
        <w:t xml:space="preserve">   </w:t>
      </w:r>
      <w:r w:rsidR="004E1BD7" w:rsidRPr="004E1BD7">
        <w:rPr>
          <w:sz w:val="24"/>
          <w:szCs w:val="24"/>
        </w:rPr>
        <w:t xml:space="preserve">engagement and </w:t>
      </w:r>
      <w:r w:rsidR="004E1BD7">
        <w:rPr>
          <w:sz w:val="24"/>
          <w:szCs w:val="24"/>
        </w:rPr>
        <w:t xml:space="preserve">                                                       </w:t>
      </w:r>
    </w:p>
    <w:p w14:paraId="6735624B" w14:textId="730417C4" w:rsidR="004C6EF9" w:rsidRPr="004E1BD7" w:rsidRDefault="004C6EF9" w:rsidP="004C6EF9">
      <w:pPr>
        <w:rPr>
          <w:sz w:val="24"/>
          <w:szCs w:val="24"/>
        </w:rPr>
      </w:pPr>
      <w:r w:rsidRPr="004E1BD7">
        <w:rPr>
          <w:sz w:val="24"/>
          <w:szCs w:val="24"/>
        </w:rPr>
        <w:t xml:space="preserve">utilization and </w:t>
      </w:r>
      <w:r w:rsidR="004E1BD7">
        <w:rPr>
          <w:sz w:val="24"/>
          <w:szCs w:val="24"/>
        </w:rPr>
        <w:t xml:space="preserve">         </w:t>
      </w:r>
      <w:r w:rsidR="004E1BD7" w:rsidRPr="004E1BD7">
        <w:rPr>
          <w:sz w:val="24"/>
          <w:szCs w:val="24"/>
        </w:rPr>
        <w:t>credit utilization &gt; 50%</w:t>
      </w:r>
      <w:r w:rsidR="004E1BD7">
        <w:rPr>
          <w:sz w:val="24"/>
          <w:szCs w:val="24"/>
        </w:rPr>
        <w:t xml:space="preserve">       </w:t>
      </w:r>
      <w:r w:rsidR="004E1BD7" w:rsidRPr="004E1BD7">
        <w:rPr>
          <w:sz w:val="24"/>
          <w:szCs w:val="24"/>
        </w:rPr>
        <w:t>Debt-to-Income Rati</w:t>
      </w:r>
      <w:r w:rsidR="004E1BD7">
        <w:rPr>
          <w:sz w:val="24"/>
          <w:szCs w:val="24"/>
        </w:rPr>
        <w:t>o</w:t>
      </w:r>
      <w:r w:rsidR="004E1BD7">
        <w:rPr>
          <w:sz w:val="24"/>
          <w:szCs w:val="24"/>
        </w:rPr>
        <w:t xml:space="preserve">.      </w:t>
      </w:r>
      <w:r w:rsidR="004E1BD7" w:rsidRPr="004E1BD7">
        <w:rPr>
          <w:sz w:val="24"/>
          <w:szCs w:val="24"/>
        </w:rPr>
        <w:t xml:space="preserve">credit management </w:t>
      </w:r>
    </w:p>
    <w:p w14:paraId="59577A31" w14:textId="7E3F8CEC" w:rsidR="004C6EF9" w:rsidRPr="004E1BD7" w:rsidRDefault="004C6EF9" w:rsidP="004C6EF9">
      <w:pPr>
        <w:rPr>
          <w:sz w:val="24"/>
          <w:szCs w:val="24"/>
        </w:rPr>
      </w:pPr>
      <w:r w:rsidRPr="004E1BD7">
        <w:rPr>
          <w:sz w:val="24"/>
          <w:szCs w:val="24"/>
        </w:rPr>
        <w:t>frequent missed</w:t>
      </w:r>
      <w:r w:rsidR="004E1BD7">
        <w:rPr>
          <w:sz w:val="24"/>
          <w:szCs w:val="24"/>
        </w:rPr>
        <w:t xml:space="preserve">                                                                                                    </w:t>
      </w:r>
      <w:r w:rsidR="004E1BD7" w:rsidRPr="004E1BD7">
        <w:rPr>
          <w:sz w:val="24"/>
          <w:szCs w:val="24"/>
        </w:rPr>
        <w:t xml:space="preserve">initiatives </w:t>
      </w:r>
      <w:proofErr w:type="gramStart"/>
      <w:r w:rsidR="004E1BD7" w:rsidRPr="004E1BD7">
        <w:rPr>
          <w:sz w:val="24"/>
          <w:szCs w:val="24"/>
        </w:rPr>
        <w:t xml:space="preserve">could </w:t>
      </w:r>
      <w:r w:rsidRPr="004E1BD7">
        <w:rPr>
          <w:sz w:val="24"/>
          <w:szCs w:val="24"/>
        </w:rPr>
        <w:t xml:space="preserve"> payments</w:t>
      </w:r>
      <w:proofErr w:type="gramEnd"/>
      <w:r w:rsidRPr="004E1BD7">
        <w:rPr>
          <w:sz w:val="24"/>
          <w:szCs w:val="24"/>
        </w:rPr>
        <w:t xml:space="preserve"> are at </w:t>
      </w:r>
      <w:r w:rsidR="004E1BD7">
        <w:rPr>
          <w:sz w:val="24"/>
          <w:szCs w:val="24"/>
        </w:rPr>
        <w:t xml:space="preserve">                                                                                                   </w:t>
      </w:r>
      <w:r w:rsidR="004E1BD7" w:rsidRPr="004E1BD7">
        <w:rPr>
          <w:sz w:val="24"/>
          <w:szCs w:val="24"/>
        </w:rPr>
        <w:t xml:space="preserve">reduce 30-day </w:t>
      </w:r>
    </w:p>
    <w:p w14:paraId="0D7C90FC" w14:textId="0CC0E722" w:rsidR="004E1BD7" w:rsidRDefault="004C6EF9" w:rsidP="004C6EF9">
      <w:pPr>
        <w:rPr>
          <w:sz w:val="24"/>
          <w:szCs w:val="24"/>
        </w:rPr>
      </w:pPr>
      <w:r w:rsidRPr="004E1BD7">
        <w:rPr>
          <w:sz w:val="24"/>
          <w:szCs w:val="24"/>
        </w:rPr>
        <w:t xml:space="preserve">highest risk of </w:t>
      </w:r>
      <w:r w:rsidR="004E1BD7">
        <w:rPr>
          <w:sz w:val="24"/>
          <w:szCs w:val="24"/>
        </w:rPr>
        <w:t xml:space="preserve">                                                                                                       </w:t>
      </w:r>
      <w:r w:rsidR="004E1BD7" w:rsidRPr="004E1BD7">
        <w:rPr>
          <w:sz w:val="24"/>
          <w:szCs w:val="24"/>
        </w:rPr>
        <w:t xml:space="preserve">delinquency rates by </w:t>
      </w:r>
    </w:p>
    <w:p w14:paraId="547B13B5" w14:textId="2E155E77" w:rsidR="004E1BD7" w:rsidRDefault="004C6EF9" w:rsidP="004E1BD7">
      <w:pPr>
        <w:rPr>
          <w:sz w:val="24"/>
          <w:szCs w:val="24"/>
        </w:rPr>
      </w:pPr>
      <w:r w:rsidRPr="004E1BD7">
        <w:rPr>
          <w:sz w:val="24"/>
          <w:szCs w:val="24"/>
        </w:rPr>
        <w:t>delinquency.</w:t>
      </w:r>
      <w:r w:rsidR="004E1BD7">
        <w:rPr>
          <w:sz w:val="24"/>
          <w:szCs w:val="24"/>
        </w:rPr>
        <w:t xml:space="preserve">                                                                                                          </w:t>
      </w:r>
      <w:r w:rsidR="004E1BD7" w:rsidRPr="004E1BD7">
        <w:rPr>
          <w:sz w:val="24"/>
          <w:szCs w:val="24"/>
        </w:rPr>
        <w:t xml:space="preserve">more than 10% </w:t>
      </w:r>
    </w:p>
    <w:p w14:paraId="1014A481" w14:textId="0CF2CB86" w:rsidR="004C6EF9" w:rsidRDefault="004E1BD7" w:rsidP="004C6E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4E1BD7">
        <w:rPr>
          <w:sz w:val="24"/>
          <w:szCs w:val="24"/>
        </w:rPr>
        <w:t>within this segment.</w:t>
      </w:r>
    </w:p>
    <w:p w14:paraId="354C7A86" w14:textId="5B32E79C" w:rsidR="004E1BD7" w:rsidRDefault="004E1BD7" w:rsidP="004C6EF9">
      <w:pPr>
        <w:rPr>
          <w:b/>
          <w:bCs/>
          <w:sz w:val="28"/>
          <w:szCs w:val="28"/>
        </w:rPr>
      </w:pPr>
      <w:r w:rsidRPr="003F78EB">
        <w:rPr>
          <w:b/>
          <w:bCs/>
          <w:sz w:val="28"/>
          <w:szCs w:val="28"/>
        </w:rPr>
        <w:t>2.Recommendation Frame</w:t>
      </w:r>
      <w:r w:rsidR="003F78EB" w:rsidRPr="003F78EB">
        <w:rPr>
          <w:b/>
          <w:bCs/>
          <w:sz w:val="28"/>
          <w:szCs w:val="28"/>
        </w:rPr>
        <w:t>work</w:t>
      </w:r>
    </w:p>
    <w:p w14:paraId="66DD3F8C" w14:textId="508262E3" w:rsidR="003F78EB" w:rsidRDefault="003F78EB" w:rsidP="004C6EF9">
      <w:pPr>
        <w:rPr>
          <w:sz w:val="24"/>
          <w:szCs w:val="24"/>
        </w:rPr>
      </w:pPr>
      <w:r w:rsidRPr="003F78EB">
        <w:rPr>
          <w:sz w:val="24"/>
          <w:szCs w:val="24"/>
        </w:rPr>
        <w:t>Restated Insight</w:t>
      </w:r>
    </w:p>
    <w:p w14:paraId="01DD6FCA" w14:textId="3CC49F87" w:rsidR="003F78EB" w:rsidRDefault="003F78EB" w:rsidP="004C6EF9">
      <w:r w:rsidRPr="003F78EB">
        <w:t xml:space="preserve">Customers below the age of 30 who have </w:t>
      </w:r>
      <w:r w:rsidRPr="003F78EB">
        <w:rPr>
          <w:rStyle w:val="Strong"/>
          <w:b w:val="0"/>
          <w:bCs w:val="0"/>
        </w:rPr>
        <w:t>two or more missed payments</w:t>
      </w:r>
      <w:r w:rsidRPr="003F78EB">
        <w:t xml:space="preserve"> and maintain </w:t>
      </w:r>
      <w:r w:rsidRPr="003F78EB">
        <w:rPr>
          <w:rStyle w:val="Strong"/>
          <w:b w:val="0"/>
          <w:bCs w:val="0"/>
        </w:rPr>
        <w:t>credit</w:t>
      </w:r>
      <w:r w:rsidRPr="003F78EB">
        <w:rPr>
          <w:rStyle w:val="Strong"/>
        </w:rPr>
        <w:t xml:space="preserve"> </w:t>
      </w:r>
      <w:r w:rsidRPr="003F78EB">
        <w:rPr>
          <w:rStyle w:val="Strong"/>
          <w:b w:val="0"/>
          <w:bCs w:val="0"/>
        </w:rPr>
        <w:t>utilization above 50%</w:t>
      </w:r>
      <w:r w:rsidRPr="003F78EB">
        <w:t xml:space="preserve"> represent a </w:t>
      </w:r>
      <w:r w:rsidRPr="003F78EB">
        <w:rPr>
          <w:rStyle w:val="Strong"/>
          <w:b w:val="0"/>
          <w:bCs w:val="0"/>
        </w:rPr>
        <w:t>high-risk segment</w:t>
      </w:r>
      <w:r w:rsidRPr="003F78EB">
        <w:t xml:space="preserve"> with a strong likelihood of delinquency.</w:t>
      </w:r>
    </w:p>
    <w:p w14:paraId="7B0E8D5B" w14:textId="77777777" w:rsidR="003F78EB" w:rsidRPr="003F78EB" w:rsidRDefault="003F78EB" w:rsidP="004C6EF9">
      <w:pPr>
        <w:rPr>
          <w:sz w:val="24"/>
          <w:szCs w:val="24"/>
        </w:rPr>
      </w:pPr>
    </w:p>
    <w:p w14:paraId="6658AB4A" w14:textId="77777777" w:rsidR="003F78EB" w:rsidRDefault="003F78EB" w:rsidP="003F78EB">
      <w:pPr>
        <w:pStyle w:val="NormalWeb"/>
        <w:rPr>
          <w:rFonts w:eastAsia="Times New Roman"/>
          <w:b/>
          <w:bCs/>
          <w:kern w:val="0"/>
          <w:lang w:eastAsia="en-IN"/>
          <w14:ligatures w14:val="none"/>
        </w:rPr>
      </w:pPr>
      <w:r>
        <w:lastRenderedPageBreak/>
        <w:t>Proposed Recommendation</w:t>
      </w:r>
      <w:r w:rsidRPr="003F78EB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</w:p>
    <w:p w14:paraId="1D9D6B58" w14:textId="5DBE3DE0" w:rsidR="003F78EB" w:rsidRPr="003F78EB" w:rsidRDefault="003F78EB" w:rsidP="003F78EB">
      <w:pPr>
        <w:pStyle w:val="NormalWeb"/>
        <w:rPr>
          <w:rFonts w:eastAsia="Times New Roman"/>
          <w:kern w:val="0"/>
          <w:lang w:eastAsia="en-IN"/>
          <w14:ligatures w14:val="none"/>
        </w:rPr>
      </w:pPr>
      <w:r w:rsidRPr="003F78EB">
        <w:rPr>
          <w:rFonts w:eastAsia="Times New Roman"/>
          <w:kern w:val="0"/>
          <w:lang w:eastAsia="en-IN"/>
          <w14:ligatures w14:val="none"/>
        </w:rPr>
        <w:t>Implement a six-week SMS engagement campaign targeting these high-risk customers to achieve a minimum 10% reduction in 30-day delinquency rates.</w:t>
      </w:r>
    </w:p>
    <w:p w14:paraId="3B2BC2AB" w14:textId="77777777" w:rsidR="003F78EB" w:rsidRPr="003F78EB" w:rsidRDefault="003F78EB" w:rsidP="003F7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7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Specific: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customers under 30 years old with two or more missed payments and high credit utilization levels (&gt;50%).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7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Measurable: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 delinquency trends during and after the campaign; success will be defined by at least a 10% decline in 30-day delinquency.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7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Actionable: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</w:t>
      </w:r>
      <w:proofErr w:type="spellStart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Geldium’s</w:t>
      </w:r>
      <w:proofErr w:type="spellEnd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existing SMS communication platform to deliver personalized reminders and repayment support messages.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7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Relevant: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proofErr w:type="spellStart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Geldium’s</w:t>
      </w:r>
      <w:proofErr w:type="spellEnd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strategic objective to reduce delinquency rates and strengthen overall repayment </w:t>
      </w:r>
      <w:proofErr w:type="spellStart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7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Time-Bound:</w:t>
      </w:r>
      <w:r w:rsidRPr="003F78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campaign will be executed over a six-week period with performance tracking throughout the duration.</w:t>
      </w:r>
    </w:p>
    <w:p w14:paraId="5F0A5686" w14:textId="77777777" w:rsidR="003661A8" w:rsidRPr="003661A8" w:rsidRDefault="003661A8" w:rsidP="0036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Justification and Business Rationale</w:t>
      </w:r>
    </w:p>
    <w:p w14:paraId="2AA647CB" w14:textId="77777777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initiative offers a data-driven, cost-efficient, and scalable approach to mitigate delinquency. By concentrating on a clearly defined high-risk group, </w:t>
      </w:r>
      <w:proofErr w:type="spellStart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Geldium</w:t>
      </w:r>
      <w:proofErr w:type="spellEnd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deliver timely interventions that encourage better repayment habits. The campaign not only contributes to financial risk reduction but also enhances customer engagement and reinforces responsible borrowing </w:t>
      </w:r>
      <w:proofErr w:type="spellStart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148AAE" w14:textId="36697BA8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61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3.Ethical and Responsible AI Consid</w:t>
      </w:r>
      <w:r w:rsidRPr="003661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erations</w:t>
      </w:r>
    </w:p>
    <w:p w14:paraId="354F7B58" w14:textId="05AE26D6" w:rsidR="003661A8" w:rsidRPr="003661A8" w:rsidRDefault="003661A8" w:rsidP="003661A8">
      <w:pPr>
        <w:pStyle w:val="NormalWeb"/>
        <w:rPr>
          <w:rFonts w:eastAsia="Times New Roman"/>
          <w:kern w:val="0"/>
          <w:lang w:eastAsia="en-IN"/>
          <w14:ligatures w14:val="none"/>
        </w:rPr>
      </w:pPr>
      <w:proofErr w:type="gramStart"/>
      <w:r w:rsidRPr="003661A8">
        <w:rPr>
          <w:rFonts w:eastAsia="Times New Roman" w:hAnsi="Symbol"/>
          <w:kern w:val="0"/>
          <w:lang w:eastAsia="en-IN"/>
          <w14:ligatures w14:val="none"/>
        </w:rPr>
        <w:t></w:t>
      </w:r>
      <w:r w:rsidRPr="003661A8">
        <w:rPr>
          <w:rFonts w:eastAsia="Times New Roman"/>
          <w:kern w:val="0"/>
          <w:lang w:eastAsia="en-IN"/>
          <w14:ligatures w14:val="none"/>
        </w:rPr>
        <w:t xml:space="preserve">  </w:t>
      </w:r>
      <w:r w:rsidRPr="003661A8">
        <w:rPr>
          <w:rFonts w:eastAsia="Times New Roman"/>
          <w:b/>
          <w:bCs/>
          <w:kern w:val="0"/>
          <w:lang w:eastAsia="en-IN"/>
          <w14:ligatures w14:val="none"/>
        </w:rPr>
        <w:t>Potential</w:t>
      </w:r>
      <w:proofErr w:type="gramEnd"/>
      <w:r w:rsidRPr="003661A8">
        <w:rPr>
          <w:rFonts w:eastAsia="Times New Roman"/>
          <w:b/>
          <w:bCs/>
          <w:kern w:val="0"/>
          <w:lang w:eastAsia="en-IN"/>
          <w14:ligatures w14:val="none"/>
        </w:rPr>
        <w:t xml:space="preserve"> Bias:</w:t>
      </w:r>
      <w:r w:rsidRPr="003661A8">
        <w:rPr>
          <w:rFonts w:eastAsia="Times New Roman"/>
          <w:kern w:val="0"/>
          <w:lang w:eastAsia="en-IN"/>
          <w14:ligatures w14:val="none"/>
        </w:rPr>
        <w:t xml:space="preserve"> Historical data may skew results for certain groups (e.g., by income or location). Regular fairness checks are required.</w:t>
      </w:r>
    </w:p>
    <w:p w14:paraId="453BA8FF" w14:textId="77777777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61A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Explainability</w:t>
      </w:r>
      <w:proofErr w:type="gramEnd"/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Logistic regression provides clear, interpretable coefficients, making risk assessment easy to communicate.</w:t>
      </w:r>
    </w:p>
    <w:p w14:paraId="1CCF2A29" w14:textId="77777777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61A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Responsible</w:t>
      </w:r>
      <w:proofErr w:type="gramEnd"/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Decision-Making: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Human review precedes any action; the SMS campaign is supportive, not punitive.</w:t>
      </w:r>
    </w:p>
    <w:p w14:paraId="52913378" w14:textId="77777777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661A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Ethical</w:t>
      </w:r>
      <w:proofErr w:type="gramEnd"/>
      <w:r w:rsidRPr="0036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Principles:</w:t>
      </w:r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Transparency is maintained, privacy ensured with anonymized data, and ongoing monitoring adapts the model to changing </w:t>
      </w:r>
      <w:proofErr w:type="spellStart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661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8B6DAF" w14:textId="77777777" w:rsidR="003661A8" w:rsidRPr="003661A8" w:rsidRDefault="003661A8" w:rsidP="0036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6D99B1B" w14:textId="77777777" w:rsidR="003661A8" w:rsidRDefault="003661A8" w:rsidP="003F78E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EECBD59" w14:textId="77777777" w:rsidR="003661A8" w:rsidRPr="003F78EB" w:rsidRDefault="003661A8" w:rsidP="003F78E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0B48EAC" w14:textId="319FA00E" w:rsidR="003F78EB" w:rsidRDefault="003F78EB" w:rsidP="003F78EB">
      <w:pPr>
        <w:rPr>
          <w:sz w:val="24"/>
          <w:szCs w:val="24"/>
        </w:rPr>
      </w:pPr>
    </w:p>
    <w:p w14:paraId="51798A61" w14:textId="77777777" w:rsidR="003F78EB" w:rsidRDefault="003F78EB" w:rsidP="003F78EB">
      <w:pPr>
        <w:rPr>
          <w:sz w:val="24"/>
          <w:szCs w:val="24"/>
        </w:rPr>
      </w:pPr>
    </w:p>
    <w:p w14:paraId="76CA1328" w14:textId="19D7C79C" w:rsidR="003F78EB" w:rsidRPr="003F78EB" w:rsidRDefault="003F78EB" w:rsidP="003F7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F78EB" w:rsidRPr="003F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CE3"/>
    <w:multiLevelType w:val="multilevel"/>
    <w:tmpl w:val="1CC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F9"/>
    <w:rsid w:val="0011475B"/>
    <w:rsid w:val="003462E4"/>
    <w:rsid w:val="003661A8"/>
    <w:rsid w:val="003F78EB"/>
    <w:rsid w:val="00492F7A"/>
    <w:rsid w:val="004C6EF9"/>
    <w:rsid w:val="004E1BD7"/>
    <w:rsid w:val="00C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8292F"/>
  <w15:chartTrackingRefBased/>
  <w15:docId w15:val="{A0E7763F-BA39-4942-8389-01E58984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78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8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547</Words>
  <Characters>3578</Characters>
  <Application>Microsoft Office Word</Application>
  <DocSecurity>0</DocSecurity>
  <Lines>79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De</dc:creator>
  <cp:keywords/>
  <dc:description/>
  <cp:lastModifiedBy>Sucheta De</cp:lastModifiedBy>
  <cp:revision>1</cp:revision>
  <dcterms:created xsi:type="dcterms:W3CDTF">2025-10-26T14:19:00Z</dcterms:created>
  <dcterms:modified xsi:type="dcterms:W3CDTF">2025-10-26T14:55:00Z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79a30e7b-5bd0-4246-9944-827e155c6832</vt:lpwstr>
  </property>
</Properties>
</file>