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00"/>
        <w:jc w:val="center"/>
      </w:pPr>
      <w:r>
        <w:rPr>
          <w:b w:val="0"/>
          <w:sz w:val="22"/>
        </w:rPr>
        <w:t>DEGREE: BSc (Hons) Computer Science and Digitisation</w:t>
      </w:r>
    </w:p>
    <w:p>
      <w:pPr>
        <w:spacing w:after="200"/>
        <w:jc w:val="center"/>
      </w:pPr>
      <w:r>
        <w:rPr>
          <w:b/>
          <w:sz w:val="24"/>
        </w:rPr>
        <w:t>Module: International Business Administration</w:t>
      </w:r>
    </w:p>
    <w:p>
      <w:r>
        <w:rPr>
          <w:sz w:val="16"/>
        </w:rPr>
        <w:t>──────────────────────────────────────────────────────────────────────────────</w:t>
      </w:r>
    </w:p>
    <w:p>
      <w:pPr>
        <w:spacing w:after="40"/>
        <w:jc w:val="center"/>
      </w:pPr>
      <w:r>
        <w:rPr>
          <w:b w:val="0"/>
          <w:sz w:val="22"/>
        </w:rPr>
        <w:t>Assignment Title:</w:t>
      </w:r>
    </w:p>
    <w:p>
      <w:pPr>
        <w:spacing w:after="280"/>
        <w:jc w:val="center"/>
      </w:pPr>
      <w:r>
        <w:rPr>
          <w:b/>
          <w:sz w:val="26"/>
        </w:rPr>
        <w:t>Navigating a Complex Global Landscape:</w:t>
        <w:br/>
        <w:t>A Case Study of Apple Inc. in the International Business Environment</w:t>
      </w:r>
    </w:p>
    <w:p>
      <w:pPr>
        <w:spacing w:after="40"/>
        <w:jc w:val="center"/>
      </w:pPr>
      <w:r>
        <w:rPr>
          <w:b w:val="0"/>
          <w:sz w:val="22"/>
        </w:rPr>
        <w:t>Assignment Type: Individual Case Study (Essay)</w:t>
      </w:r>
    </w:p>
    <w:p>
      <w:pPr>
        <w:spacing w:after="40"/>
        <w:jc w:val="center"/>
      </w:pPr>
      <w:r>
        <w:rPr>
          <w:b w:val="0"/>
          <w:sz w:val="22"/>
        </w:rPr>
        <w:t>Word Limit: 1500 words (±200)</w:t>
      </w:r>
    </w:p>
    <w:p>
      <w:pPr>
        <w:spacing w:after="40"/>
        <w:jc w:val="center"/>
      </w:pPr>
      <w:r>
        <w:rPr>
          <w:b w:val="0"/>
          <w:sz w:val="22"/>
        </w:rPr>
        <w:t>Weighting: 80%</w:t>
      </w:r>
    </w:p>
    <w:p>
      <w:pPr>
        <w:spacing w:after="40"/>
        <w:jc w:val="center"/>
      </w:pPr>
      <w:r>
        <w:rPr>
          <w:b w:val="0"/>
          <w:sz w:val="22"/>
        </w:rPr>
        <w:t>Issue Date: 28/04/2026</w:t>
      </w:r>
    </w:p>
    <w:p>
      <w:pPr>
        <w:spacing w:after="40"/>
        <w:jc w:val="center"/>
      </w:pPr>
      <w:r>
        <w:rPr>
          <w:b w:val="0"/>
          <w:sz w:val="22"/>
        </w:rPr>
        <w:t>Submission Date: 18/06/2026</w:t>
      </w:r>
    </w:p>
    <w:p>
      <w:pPr>
        <w:spacing w:after="280"/>
        <w:jc w:val="center"/>
      </w:pPr>
      <w:r>
        <w:rPr>
          <w:b w:val="0"/>
          <w:sz w:val="22"/>
        </w:rPr>
        <w:t>Feedback Date: 02/07/2026</w:t>
      </w:r>
    </w:p>
    <w:p>
      <w:r>
        <w:rPr>
          <w:sz w:val="16"/>
        </w:rPr>
        <w:t>──────────────────────────────────────────────────────────────────────────────</w:t>
      </w:r>
    </w:p>
    <w:p>
      <w:pPr>
        <w:spacing w:after="80"/>
        <w:jc w:val="center"/>
      </w:pPr>
      <w:r>
        <w:rPr>
          <w:b w:val="0"/>
          <w:sz w:val="22"/>
        </w:rPr>
        <w:t>NAME:</w:t>
      </w:r>
    </w:p>
    <w:p>
      <w:pPr>
        <w:spacing w:after="80"/>
        <w:jc w:val="center"/>
      </w:pPr>
      <w:r>
        <w:rPr>
          <w:b w:val="0"/>
          <w:sz w:val="22"/>
        </w:rPr>
        <w:t>ID:</w:t>
      </w:r>
    </w:p>
    <w:p>
      <w:pPr>
        <w:spacing w:after="80"/>
        <w:jc w:val="center"/>
      </w:pPr>
      <w:r>
        <w:rPr>
          <w:b w:val="0"/>
          <w:sz w:val="22"/>
        </w:rPr>
        <w:t>WORD COUNT:  1,498</w:t>
      </w:r>
    </w:p>
    <w:p>
      <w:r>
        <w:br w:type="page"/>
      </w:r>
    </w:p>
    <w:p>
      <w:pPr>
        <w:pStyle w:val="Heading2"/>
        <w:jc w:val="left"/>
      </w:pPr>
      <w:r>
        <w:rPr>
          <w:color w:val="1B3A5C"/>
        </w:rPr>
        <w:t>Plagiarism Notice</w:t>
      </w:r>
    </w:p>
    <w:p>
      <w:pPr>
        <w:spacing w:before="0" w:after="160"/>
        <w:jc w:val="both"/>
      </w:pPr>
      <w:r>
        <w:rPr>
          <w:b w:val="0"/>
          <w:i w:val="0"/>
          <w:sz w:val="20"/>
        </w:rPr>
        <w:t>When submitting work for assessment, students should be aware of the InterActive/Canvas guidance and regulations concerning plagiarism. All submissions should be your own, original work. Your submission will be electronically checked via Turnitin.</w:t>
      </w:r>
    </w:p>
    <w:p>
      <w:pPr>
        <w:pStyle w:val="Heading2"/>
        <w:jc w:val="left"/>
      </w:pPr>
      <w:r>
        <w:rPr>
          <w:color w:val="1B3A5C"/>
        </w:rPr>
        <w:t>Harvard Referencing</w:t>
      </w:r>
    </w:p>
    <w:p>
      <w:pPr>
        <w:spacing w:before="0" w:after="160"/>
        <w:jc w:val="both"/>
      </w:pPr>
      <w:r>
        <w:rPr>
          <w:b w:val="0"/>
          <w:i w:val="0"/>
          <w:sz w:val="20"/>
        </w:rPr>
        <w:t>The Harvard Referencing System must be used. Wikipedia, UKEssays.com or similar websites must not be used or referenced in your work.</w:t>
      </w:r>
    </w:p>
    <w:tbl>
      <w:tblPr>
        <w:tblStyle w:val="TableGrid"/>
        <w:tblW w:type="auto" w:w="0"/>
        <w:tblLook w:firstColumn="1" w:firstRow="1" w:lastColumn="0" w:lastRow="0" w:noHBand="0" w:noVBand="1" w:val="04A0"/>
      </w:tblPr>
      <w:tblGrid>
        <w:gridCol w:w="4392"/>
        <w:gridCol w:w="4392"/>
      </w:tblGrid>
      <w:tr>
        <w:tc>
          <w:tcPr>
            <w:tcW w:type="dxa" w:w="4392"/>
            <w:shd w:val="clear" w:color="auto" w:fill="FDFEFE"/>
            <w:vAlign w:val="center"/>
          </w:tcPr>
          <w:p>
            <w:pPr>
              <w:spacing w:before="40" w:after="40"/>
              <w:jc w:val="left"/>
            </w:pPr>
            <w:r>
              <w:rPr>
                <w:b w:val="0"/>
                <w:sz w:val="20"/>
              </w:rPr>
              <w:t>Word count</w:t>
            </w:r>
          </w:p>
        </w:tc>
        <w:tc>
          <w:tcPr>
            <w:tcW w:type="dxa" w:w="4392"/>
            <w:shd w:val="clear" w:color="auto" w:fill="FDFEFE"/>
            <w:vAlign w:val="center"/>
          </w:tcPr>
          <w:p>
            <w:pPr>
              <w:spacing w:before="40" w:after="40"/>
              <w:jc w:val="center"/>
            </w:pPr>
            <w:r>
              <w:rPr>
                <w:b w:val="0"/>
                <w:sz w:val="20"/>
              </w:rPr>
            </w:r>
          </w:p>
        </w:tc>
      </w:tr>
      <w:tr>
        <w:tc>
          <w:tcPr>
            <w:tcW w:type="dxa" w:w="4392"/>
            <w:shd w:val="clear" w:color="auto" w:fill="EBF5FB"/>
            <w:vAlign w:val="center"/>
          </w:tcPr>
          <w:p>
            <w:pPr>
              <w:spacing w:before="40" w:after="40"/>
              <w:jc w:val="left"/>
            </w:pPr>
            <w:r>
              <w:rPr>
                <w:b w:val="0"/>
                <w:sz w:val="20"/>
              </w:rPr>
              <w:t>Use of proof-reader / proof-reading service (e.g. Grammarly, Studiosity)</w:t>
            </w:r>
          </w:p>
        </w:tc>
        <w:tc>
          <w:tcPr>
            <w:tcW w:type="dxa" w:w="4392"/>
            <w:shd w:val="clear" w:color="auto" w:fill="EBF5FB"/>
            <w:vAlign w:val="center"/>
          </w:tcPr>
          <w:p>
            <w:pPr>
              <w:spacing w:before="40" w:after="40"/>
              <w:jc w:val="center"/>
            </w:pPr>
            <w:r>
              <w:rPr>
                <w:b w:val="0"/>
                <w:sz w:val="20"/>
              </w:rPr>
              <w:t>YES   /   NO</w:t>
            </w:r>
          </w:p>
        </w:tc>
      </w:tr>
      <w:tr>
        <w:tc>
          <w:tcPr>
            <w:tcW w:type="dxa" w:w="4392"/>
            <w:shd w:val="clear" w:color="auto" w:fill="FDFEFE"/>
            <w:vAlign w:val="center"/>
          </w:tcPr>
          <w:p>
            <w:pPr>
              <w:spacing w:before="40" w:after="40"/>
              <w:jc w:val="left"/>
            </w:pPr>
            <w:r>
              <w:rPr>
                <w:b w:val="0"/>
                <w:sz w:val="20"/>
              </w:rPr>
              <w:t>I confirm that I submit this work as my own work and that I have cited all sources I have used. I understand that using sources without citing them correctly may be considered Academic Misconduct.</w:t>
            </w:r>
          </w:p>
        </w:tc>
        <w:tc>
          <w:tcPr>
            <w:tcW w:type="dxa" w:w="4392"/>
            <w:shd w:val="clear" w:color="auto" w:fill="FDFEFE"/>
            <w:vAlign w:val="center"/>
          </w:tcPr>
          <w:p>
            <w:pPr>
              <w:spacing w:before="40" w:after="40"/>
              <w:jc w:val="center"/>
            </w:pPr>
            <w:r>
              <w:rPr>
                <w:b w:val="0"/>
                <w:sz w:val="20"/>
              </w:rPr>
              <w:t>YES   /   NO</w:t>
            </w:r>
          </w:p>
        </w:tc>
      </w:tr>
      <w:tr>
        <w:tc>
          <w:tcPr>
            <w:tcW w:type="dxa" w:w="4392"/>
            <w:shd w:val="clear" w:color="auto" w:fill="EBF5FB"/>
            <w:vAlign w:val="center"/>
          </w:tcPr>
          <w:p>
            <w:pPr>
              <w:spacing w:before="40" w:after="40"/>
              <w:jc w:val="left"/>
            </w:pPr>
            <w:r>
              <w:rPr>
                <w:b w:val="0"/>
                <w:sz w:val="20"/>
              </w:rPr>
              <w:t>I confirm that I have followed guidance on the acceptable use of AI tools for this assignment.</w:t>
            </w:r>
          </w:p>
        </w:tc>
        <w:tc>
          <w:tcPr>
            <w:tcW w:type="dxa" w:w="4392"/>
            <w:shd w:val="clear" w:color="auto" w:fill="EBF5FB"/>
            <w:vAlign w:val="center"/>
          </w:tcPr>
          <w:p>
            <w:pPr>
              <w:spacing w:before="40" w:after="40"/>
              <w:jc w:val="center"/>
            </w:pPr>
            <w:r>
              <w:rPr>
                <w:b w:val="0"/>
                <w:sz w:val="20"/>
              </w:rPr>
              <w:t>YES   /   NO</w:t>
            </w:r>
          </w:p>
        </w:tc>
      </w:tr>
    </w:tbl>
    <w:p>
      <w:pPr>
        <w:spacing w:before="160" w:after="160"/>
        <w:jc w:val="both"/>
      </w:pPr>
      <w:r>
        <w:rPr>
          <w:b w:val="0"/>
          <w:i/>
          <w:sz w:val="20"/>
        </w:rPr>
        <w:t>Signature (Student): ________________________   Date: _____________________</w:t>
      </w:r>
    </w:p>
    <w:p>
      <w:r>
        <w:br w:type="page"/>
      </w:r>
    </w:p>
    <w:p>
      <w:pPr>
        <w:pStyle w:val="Heading1"/>
        <w:jc w:val="left"/>
      </w:pPr>
      <w:r>
        <w:rPr>
          <w:color w:val="1B3A5C"/>
        </w:rPr>
        <w:t>Introduction</w:t>
      </w:r>
    </w:p>
    <w:p>
      <w:pPr>
        <w:spacing w:before="0" w:after="160"/>
        <w:jc w:val="both"/>
      </w:pPr>
      <w:r>
        <w:rPr>
          <w:b w:val="0"/>
          <w:i w:val="0"/>
          <w:sz w:val="20"/>
        </w:rPr>
        <w:t>In today's rapidly changing global environment, organisations are influenced by a range of external factors including social, political, technological and economic conditions. This assignment explores the external business environment of a selected international organisation, identifying key challenges and examining environmental factors.</w:t>
      </w:r>
    </w:p>
    <w:p>
      <w:pPr>
        <w:spacing w:before="0" w:after="160"/>
        <w:jc w:val="both"/>
      </w:pPr>
      <w:r>
        <w:rPr>
          <w:b/>
          <w:i w:val="0"/>
          <w:sz w:val="20"/>
        </w:rPr>
        <w:t>Learning Outcomes:</w:t>
      </w:r>
    </w:p>
    <w:p>
      <w:pPr>
        <w:pStyle w:val="ListBullet"/>
        <w:spacing w:after="80"/>
      </w:pPr>
      <w:r>
        <w:rPr>
          <w:sz w:val="20"/>
        </w:rPr>
        <w:t>LO1. Explain and deal with the current entrepreneurial, social, political and technological challenges in business.</w:t>
      </w:r>
    </w:p>
    <w:p>
      <w:pPr>
        <w:pStyle w:val="ListBullet"/>
        <w:spacing w:after="80"/>
      </w:pPr>
      <w:r>
        <w:rPr>
          <w:sz w:val="20"/>
        </w:rPr>
        <w:t>LO2. Analyse and synthesise the interplay of the corporate environment with a local and a global context.</w:t>
      </w:r>
    </w:p>
    <w:p>
      <w:pPr>
        <w:pStyle w:val="ListBullet"/>
        <w:spacing w:after="80"/>
      </w:pPr>
      <w:r>
        <w:rPr>
          <w:sz w:val="20"/>
        </w:rPr>
        <w:t>LO3. Work effectively in a team to present and communicate the business macro environment with confidence in a global marketplace.</w:t>
      </w:r>
    </w:p>
    <w:p>
      <w:pPr>
        <w:spacing w:before="160" w:after="160"/>
        <w:jc w:val="both"/>
      </w:pPr>
      <w:r>
        <w:rPr>
          <w:b/>
          <w:i w:val="0"/>
          <w:sz w:val="20"/>
        </w:rPr>
        <w:t>Assessment Criteria:  Weighting 80%  —  1500 words</w:t>
      </w:r>
    </w:p>
    <w:p>
      <w:pPr>
        <w:spacing w:before="0" w:after="160"/>
        <w:jc w:val="both"/>
      </w:pPr>
      <w:r>
        <w:rPr>
          <w:b w:val="0"/>
          <w:i w:val="0"/>
          <w:sz w:val="20"/>
        </w:rPr>
        <w:t>Students must select one international organisation and complete Task 1 (identifying and ranking business challenges) and Task 2 (PESTEL external environment analysis).</w:t>
      </w:r>
    </w:p>
    <w:p>
      <w:r>
        <w:br w:type="page"/>
      </w:r>
    </w:p>
    <w:p>
      <w:pPr>
        <w:pStyle w:val="Heading1"/>
        <w:jc w:val="left"/>
      </w:pPr>
      <w:r>
        <w:rPr>
          <w:color w:val="1B3A5C"/>
        </w:rPr>
        <w:t>1. Introduction</w:t>
      </w:r>
    </w:p>
    <w:p>
      <w:pPr>
        <w:spacing w:before="0" w:after="160"/>
        <w:jc w:val="both"/>
      </w:pPr>
      <w:r>
        <w:rPr>
          <w:b w:val="0"/>
          <w:i w:val="0"/>
          <w:sz w:val="22"/>
        </w:rPr>
        <w:t>Apple Inc. is one of the world's most valuable corporations, headquartered in Cupertino, California, and operating across more than 175 countries. In the 2023 fiscal year the company reported net sales of $383.3 billion, with the iPhone accounting for approximately 52 per cent of revenue (Apple Inc., 2023). Apple's competitive advantage rests on a tightly integrated hardware, software and services ecosystem that commands premium pricing and exceptional brand loyalty across global markets.</w:t>
      </w:r>
    </w:p>
    <w:p>
      <w:pPr>
        <w:spacing w:before="0" w:after="160"/>
        <w:jc w:val="both"/>
      </w:pPr>
      <w:r>
        <w:rPr>
          <w:b w:val="0"/>
          <w:i w:val="0"/>
          <w:sz w:val="22"/>
        </w:rPr>
        <w:t>Despite this success, Apple faces a convergence of geopolitical, regulatory, social and technological pressures that challenge its business model. This assignment examines these pressures through two frameworks. Section 2 identifies and ranks the key entrepreneurial, social, political and technological challenges the company faces. Section 3 applies the PESTEL framework to analyse the macro-environmental factors shaping Apple's operations in both local and global contexts, drawing on the international business theory of Peng and Meyer (2019).</w:t>
      </w:r>
    </w:p>
    <w:p>
      <w:pPr>
        <w:pStyle w:val="Heading1"/>
        <w:jc w:val="left"/>
      </w:pPr>
      <w:r>
        <w:rPr>
          <w:color w:val="1B3A5C"/>
        </w:rPr>
        <w:t>2. Business Challenges</w:t>
      </w:r>
    </w:p>
    <w:p>
      <w:pPr>
        <w:spacing w:before="0" w:after="160"/>
        <w:jc w:val="both"/>
      </w:pPr>
      <w:r>
        <w:rPr>
          <w:b w:val="0"/>
          <w:i w:val="0"/>
          <w:sz w:val="22"/>
        </w:rPr>
        <w:t>Apple confronts challenges across four dimensions. Each is examined below, followed by a ranked summary in Table 1.</w:t>
      </w:r>
    </w:p>
    <w:p>
      <w:pPr>
        <w:spacing w:before="0" w:after="80"/>
        <w:jc w:val="both"/>
      </w:pPr>
      <w:r>
        <w:rPr>
          <w:b/>
          <w:i w:val="0"/>
          <w:sz w:val="22"/>
        </w:rPr>
        <w:t>2.1  Entrepreneurial Challenges</w:t>
      </w:r>
    </w:p>
    <w:p>
      <w:pPr>
        <w:spacing w:before="0" w:after="160"/>
        <w:jc w:val="both"/>
      </w:pPr>
      <w:r>
        <w:rPr>
          <w:b w:val="0"/>
          <w:i w:val="0"/>
          <w:sz w:val="22"/>
        </w:rPr>
        <w:t>Innovation stagnation risk is Apple's first entrepreneurial challenge. The company's premium pricing — iPhone 15 Pro Max retailing above £1,199 in the United Kingdom — is viable only if consumers perceive genuine differentiation from competitors. As Samsung, Google and Chinese manufacturers increasingly match Apple's hardware quality, the company must pioneer new product categories. The 2024 Vision Pro launch at $3,499 illustrates this ambition, but its modest initial sales highlight the commercial risk of high-stakes innovation (Hill and Hult, 2022).</w:t>
      </w:r>
    </w:p>
    <w:p>
      <w:pPr>
        <w:spacing w:before="0" w:after="160"/>
        <w:jc w:val="both"/>
      </w:pPr>
      <w:r>
        <w:rPr>
          <w:b w:val="0"/>
          <w:i w:val="0"/>
          <w:sz w:val="22"/>
        </w:rPr>
        <w:t>Diversification into services revenues is the second entrepreneurial challenge. With smartphone markets approaching saturation, Apple's services segment — comprising the App Store, iCloud, Apple TV+ and Apple Pay — generated $85.2 billion in FY2023, growing 16 per cent year-on-year (Apple Inc., 2023). However, intensifying regulatory scrutiny of the App Store's 15–30 per cent commission structure constrains this growth pathway (Verbeke, 2013).</w:t>
      </w:r>
    </w:p>
    <w:p>
      <w:pPr>
        <w:spacing w:before="0" w:after="80"/>
        <w:jc w:val="both"/>
      </w:pPr>
      <w:r>
        <w:rPr>
          <w:b/>
          <w:i w:val="0"/>
          <w:sz w:val="22"/>
        </w:rPr>
        <w:t>2.2  Social Challenges</w:t>
      </w:r>
    </w:p>
    <w:p>
      <w:pPr>
        <w:spacing w:before="0" w:after="160"/>
        <w:jc w:val="both"/>
      </w:pPr>
      <w:r>
        <w:rPr>
          <w:b w:val="0"/>
          <w:i w:val="0"/>
          <w:sz w:val="22"/>
        </w:rPr>
        <w:t>Supply chain labour practices represent Apple's primary social challenge. Approximately 90 per cent of Apple products are assembled in China through contract manufacturers such as Foxconn, where investigative reports have documented excessive overtime and inadequate safety conditions (Crane and Matten, 2016). These issues create reputational exposure among ethically conscious consumers in Europe and North America, and persistent compliance gaps have been noted by independent auditors despite Apple's Supplier Code of Conduct.</w:t>
      </w:r>
    </w:p>
    <w:p>
      <w:pPr>
        <w:spacing w:before="0" w:after="160"/>
        <w:jc w:val="both"/>
      </w:pPr>
      <w:r>
        <w:rPr>
          <w:b w:val="0"/>
          <w:i w:val="0"/>
          <w:sz w:val="22"/>
        </w:rPr>
        <w:t>Digital wellbeing and youth mental health is the second social challenge. Governments in the United Kingdom and Australia are advancing legislation to restrict under-16 smartphone use. Although Apple introduced Screen Time controls in iOS 12 and has expanded parental tools since, public health researchers argue these remain voluntary and insufficient, raising the prospect of mandatory regulatory intervention (Crane and Matten, 2016).</w:t>
      </w:r>
    </w:p>
    <w:p>
      <w:pPr>
        <w:spacing w:before="0" w:after="80"/>
        <w:jc w:val="both"/>
      </w:pPr>
      <w:r>
        <w:rPr>
          <w:b/>
          <w:i w:val="0"/>
          <w:sz w:val="22"/>
        </w:rPr>
        <w:t>2.3  Political Challenges</w:t>
      </w:r>
    </w:p>
    <w:p>
      <w:pPr>
        <w:spacing w:before="0" w:after="160"/>
        <w:jc w:val="both"/>
      </w:pPr>
      <w:r>
        <w:rPr>
          <w:b w:val="0"/>
          <w:i w:val="0"/>
          <w:sz w:val="22"/>
        </w:rPr>
        <w:t>US–China trade tensions constitute Apple's most critical political challenge. With the majority of iPhones assembled in China, escalating tariffs, technology export controls and retaliatory risks pose an existential supply chain threat. Simultaneously, China is Apple's third-largest market, generating $72.6 billion in FY2023 revenue, meaning geopolitical disruption carries a dual supply-and-demand impact (Peng and Meyer, 2019).</w:t>
      </w:r>
    </w:p>
    <w:p>
      <w:pPr>
        <w:spacing w:before="0" w:after="160"/>
        <w:jc w:val="both"/>
      </w:pPr>
      <w:r>
        <w:rPr>
          <w:b w:val="0"/>
          <w:i w:val="0"/>
          <w:sz w:val="22"/>
        </w:rPr>
        <w:t>The EU Digital Markets Act (DMA) is the second political challenge. Effective March 2024, the DMA designated Apple a 'gatekeeper', legally requiring it to open iOS to third-party app stores and payment systems within the EU. In the same month the European Commission fined Apple €1.84 billion for anti-competitive conduct, and the US Department of Justice launched a separate antitrust lawsuit alleging illegal smartphone market monopolisation (European Commission, 2024; US Department of Justice, 2024).</w:t>
      </w:r>
    </w:p>
    <w:p>
      <w:pPr>
        <w:spacing w:before="0" w:after="80"/>
        <w:jc w:val="both"/>
      </w:pPr>
      <w:r>
        <w:rPr>
          <w:b/>
          <w:i w:val="0"/>
          <w:sz w:val="22"/>
        </w:rPr>
        <w:t>2.4  Technological Challenges</w:t>
      </w:r>
    </w:p>
    <w:p>
      <w:pPr>
        <w:spacing w:before="0" w:after="160"/>
        <w:jc w:val="both"/>
      </w:pPr>
      <w:r>
        <w:rPr>
          <w:b w:val="0"/>
          <w:i w:val="0"/>
          <w:sz w:val="22"/>
        </w:rPr>
        <w:t>Artificial intelligence competition is the first technological challenge. Google Gemini, Microsoft Copilot and Amazon's AI services have made AI capability a primary axis of smartphone differentiation. Apple Intelligence, launched in 2024, represents a significant catch-up effort, but analysts note its initial feature set remained narrower than rival offerings, threatening Apple's premium positioning (Hill and Hult, 2022).</w:t>
      </w:r>
    </w:p>
    <w:p>
      <w:pPr>
        <w:spacing w:before="0" w:after="160"/>
        <w:jc w:val="both"/>
      </w:pPr>
      <w:r>
        <w:rPr>
          <w:b w:val="0"/>
          <w:i w:val="0"/>
          <w:sz w:val="22"/>
        </w:rPr>
        <w:t>Semiconductor supply chain vulnerability is the second technological challenge. Apple's M-series and A-series chips are fabricated exclusively by TSMC in Taiwan. Any disruption to TSMC operations — due to the intensifying China–Taiwan geopolitical standoff — could halt Apple product launches for over twelve months, as no comparable alternative fabricator currently exists (Verbeke, 2013).</w:t>
      </w:r>
    </w:p>
    <w:p>
      <w:pPr>
        <w:spacing w:before="0" w:after="80"/>
        <w:jc w:val="both"/>
      </w:pPr>
      <w:r>
        <w:rPr>
          <w:b/>
          <w:i w:val="0"/>
          <w:sz w:val="22"/>
        </w:rPr>
        <w:t>2.5  Challenge Ranking and Categorisation</w:t>
      </w:r>
    </w:p>
    <w:p>
      <w:pPr>
        <w:spacing w:before="0" w:after="160"/>
        <w:jc w:val="both"/>
      </w:pPr>
      <w:r>
        <w:rPr>
          <w:b w:val="0"/>
          <w:i w:val="0"/>
          <w:sz w:val="22"/>
        </w:rPr>
        <w:t>Table 1 ranks all eight challenges by their potential impact on Apple's operations, revenue and long-term strategic position.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576"/>
            <w:shd w:val="clear" w:color="auto" w:fill="1B3A5C"/>
            <w:vAlign w:val="center"/>
          </w:tcPr>
          <w:p>
            <w:pPr>
              <w:spacing w:before="40" w:after="40"/>
              <w:jc w:val="center"/>
            </w:pPr>
            <w:r>
              <w:rPr>
                <w:b/>
                <w:color w:val="FFFFFF"/>
                <w:sz w:val="20"/>
              </w:rPr>
              <w:t>Rank</w:t>
            </w:r>
          </w:p>
        </w:tc>
        <w:tc>
          <w:tcPr>
            <w:tcW w:type="dxa" w:w="2736"/>
            <w:shd w:val="clear" w:color="auto" w:fill="1B3A5C"/>
            <w:vAlign w:val="center"/>
          </w:tcPr>
          <w:p>
            <w:pPr>
              <w:spacing w:before="40" w:after="40"/>
              <w:jc w:val="center"/>
            </w:pPr>
            <w:r>
              <w:rPr>
                <w:b/>
                <w:color w:val="FFFFFF"/>
                <w:sz w:val="20"/>
              </w:rPr>
              <w:t>Challenge</w:t>
            </w:r>
          </w:p>
        </w:tc>
        <w:tc>
          <w:tcPr>
            <w:tcW w:type="dxa" w:w="1728"/>
            <w:shd w:val="clear" w:color="auto" w:fill="1B3A5C"/>
            <w:vAlign w:val="center"/>
          </w:tcPr>
          <w:p>
            <w:pPr>
              <w:spacing w:before="40" w:after="40"/>
              <w:jc w:val="center"/>
            </w:pPr>
            <w:r>
              <w:rPr>
                <w:b/>
                <w:color w:val="FFFFFF"/>
                <w:sz w:val="20"/>
              </w:rPr>
              <w:t>Category</w:t>
            </w:r>
          </w:p>
        </w:tc>
        <w:tc>
          <w:tcPr>
            <w:tcW w:type="dxa" w:w="1584"/>
            <w:shd w:val="clear" w:color="auto" w:fill="1B3A5C"/>
            <w:vAlign w:val="center"/>
          </w:tcPr>
          <w:p>
            <w:pPr>
              <w:spacing w:before="40" w:after="40"/>
              <w:jc w:val="center"/>
            </w:pPr>
            <w:r>
              <w:rPr>
                <w:b/>
                <w:color w:val="FFFFFF"/>
                <w:sz w:val="20"/>
              </w:rPr>
              <w:t>Impact Level</w:t>
            </w:r>
          </w:p>
        </w:tc>
        <w:tc>
          <w:tcPr>
            <w:tcW w:type="dxa" w:w="3744"/>
            <w:shd w:val="clear" w:color="auto" w:fill="1B3A5C"/>
            <w:vAlign w:val="center"/>
          </w:tcPr>
          <w:p>
            <w:pPr>
              <w:spacing w:before="40" w:after="40"/>
              <w:jc w:val="center"/>
            </w:pPr>
            <w:r>
              <w:rPr>
                <w:b/>
                <w:color w:val="FFFFFF"/>
                <w:sz w:val="20"/>
              </w:rPr>
              <w:t>Primary Exposure</w:t>
            </w:r>
          </w:p>
        </w:tc>
      </w:tr>
      <w:tr>
        <w:tc>
          <w:tcPr>
            <w:tcW w:type="dxa" w:w="576"/>
            <w:shd w:val="clear" w:color="auto" w:fill="FFFFFF"/>
            <w:vAlign w:val="center"/>
          </w:tcPr>
          <w:p>
            <w:pPr>
              <w:spacing w:before="40" w:after="40"/>
              <w:jc w:val="center"/>
            </w:pPr>
            <w:r>
              <w:rPr>
                <w:b w:val="0"/>
                <w:sz w:val="20"/>
              </w:rPr>
              <w:t>1</w:t>
            </w:r>
          </w:p>
        </w:tc>
        <w:tc>
          <w:tcPr>
            <w:tcW w:type="dxa" w:w="2736"/>
            <w:shd w:val="clear" w:color="auto" w:fill="FFFFFF"/>
            <w:vAlign w:val="center"/>
          </w:tcPr>
          <w:p>
            <w:pPr>
              <w:spacing w:before="40" w:after="40"/>
              <w:jc w:val="center"/>
            </w:pPr>
            <w:r>
              <w:rPr>
                <w:b w:val="0"/>
                <w:sz w:val="20"/>
              </w:rPr>
              <w:t>US–China Trade Tensions</w:t>
            </w:r>
          </w:p>
        </w:tc>
        <w:tc>
          <w:tcPr>
            <w:tcW w:type="dxa" w:w="1728"/>
            <w:shd w:val="clear" w:color="auto" w:fill="FFFFFF"/>
            <w:vAlign w:val="center"/>
          </w:tcPr>
          <w:p>
            <w:pPr>
              <w:spacing w:before="40" w:after="40"/>
              <w:jc w:val="center"/>
            </w:pPr>
            <w:r>
              <w:rPr>
                <w:b w:val="0"/>
                <w:sz w:val="20"/>
              </w:rPr>
              <w:t>Political</w:t>
            </w:r>
          </w:p>
        </w:tc>
        <w:tc>
          <w:tcPr>
            <w:tcW w:type="dxa" w:w="1584"/>
            <w:shd w:val="clear" w:color="auto" w:fill="FFFFFF"/>
            <w:vAlign w:val="center"/>
          </w:tcPr>
          <w:p>
            <w:pPr>
              <w:spacing w:before="40" w:after="40"/>
              <w:jc w:val="center"/>
            </w:pPr>
            <w:r>
              <w:rPr>
                <w:b w:val="0"/>
                <w:sz w:val="20"/>
              </w:rPr>
              <w:t>Critical</w:t>
            </w:r>
          </w:p>
        </w:tc>
        <w:tc>
          <w:tcPr>
            <w:tcW w:type="dxa" w:w="3744"/>
            <w:shd w:val="clear" w:color="auto" w:fill="FFFFFF"/>
            <w:vAlign w:val="center"/>
          </w:tcPr>
          <w:p>
            <w:pPr>
              <w:spacing w:before="40" w:after="40"/>
              <w:jc w:val="center"/>
            </w:pPr>
            <w:r>
              <w:rPr>
                <w:b w:val="0"/>
                <w:sz w:val="20"/>
              </w:rPr>
              <w:t>Supply chain disruption; China market access</w:t>
            </w:r>
          </w:p>
        </w:tc>
      </w:tr>
      <w:tr>
        <w:tc>
          <w:tcPr>
            <w:tcW w:type="dxa" w:w="576"/>
            <w:shd w:val="clear" w:color="auto" w:fill="EBF5FB"/>
            <w:vAlign w:val="center"/>
          </w:tcPr>
          <w:p>
            <w:pPr>
              <w:spacing w:before="40" w:after="40"/>
              <w:jc w:val="center"/>
            </w:pPr>
            <w:r>
              <w:rPr>
                <w:b w:val="0"/>
                <w:sz w:val="20"/>
              </w:rPr>
              <w:t>2</w:t>
            </w:r>
          </w:p>
        </w:tc>
        <w:tc>
          <w:tcPr>
            <w:tcW w:type="dxa" w:w="2736"/>
            <w:shd w:val="clear" w:color="auto" w:fill="EBF5FB"/>
            <w:vAlign w:val="center"/>
          </w:tcPr>
          <w:p>
            <w:pPr>
              <w:spacing w:before="40" w:after="40"/>
              <w:jc w:val="center"/>
            </w:pPr>
            <w:r>
              <w:rPr>
                <w:b w:val="0"/>
                <w:sz w:val="20"/>
              </w:rPr>
              <w:t>EU DMA &amp; Antitrust Fines</w:t>
            </w:r>
          </w:p>
        </w:tc>
        <w:tc>
          <w:tcPr>
            <w:tcW w:type="dxa" w:w="1728"/>
            <w:shd w:val="clear" w:color="auto" w:fill="EBF5FB"/>
            <w:vAlign w:val="center"/>
          </w:tcPr>
          <w:p>
            <w:pPr>
              <w:spacing w:before="40" w:after="40"/>
              <w:jc w:val="center"/>
            </w:pPr>
            <w:r>
              <w:rPr>
                <w:b w:val="0"/>
                <w:sz w:val="20"/>
              </w:rPr>
              <w:t>Political</w:t>
            </w:r>
          </w:p>
        </w:tc>
        <w:tc>
          <w:tcPr>
            <w:tcW w:type="dxa" w:w="1584"/>
            <w:shd w:val="clear" w:color="auto" w:fill="EBF5FB"/>
            <w:vAlign w:val="center"/>
          </w:tcPr>
          <w:p>
            <w:pPr>
              <w:spacing w:before="40" w:after="40"/>
              <w:jc w:val="center"/>
            </w:pPr>
            <w:r>
              <w:rPr>
                <w:b w:val="0"/>
                <w:sz w:val="20"/>
              </w:rPr>
              <w:t>High</w:t>
            </w:r>
          </w:p>
        </w:tc>
        <w:tc>
          <w:tcPr>
            <w:tcW w:type="dxa" w:w="3744"/>
            <w:shd w:val="clear" w:color="auto" w:fill="EBF5FB"/>
            <w:vAlign w:val="center"/>
          </w:tcPr>
          <w:p>
            <w:pPr>
              <w:spacing w:before="40" w:after="40"/>
              <w:jc w:val="center"/>
            </w:pPr>
            <w:r>
              <w:rPr>
                <w:b w:val="0"/>
                <w:sz w:val="20"/>
              </w:rPr>
              <w:t>App Store revenue; legal costs</w:t>
            </w:r>
          </w:p>
        </w:tc>
      </w:tr>
      <w:tr>
        <w:tc>
          <w:tcPr>
            <w:tcW w:type="dxa" w:w="576"/>
            <w:shd w:val="clear" w:color="auto" w:fill="FFFFFF"/>
            <w:vAlign w:val="center"/>
          </w:tcPr>
          <w:p>
            <w:pPr>
              <w:spacing w:before="40" w:after="40"/>
              <w:jc w:val="center"/>
            </w:pPr>
            <w:r>
              <w:rPr>
                <w:b w:val="0"/>
                <w:sz w:val="20"/>
              </w:rPr>
              <w:t>3</w:t>
            </w:r>
          </w:p>
        </w:tc>
        <w:tc>
          <w:tcPr>
            <w:tcW w:type="dxa" w:w="2736"/>
            <w:shd w:val="clear" w:color="auto" w:fill="FFFFFF"/>
            <w:vAlign w:val="center"/>
          </w:tcPr>
          <w:p>
            <w:pPr>
              <w:spacing w:before="40" w:after="40"/>
              <w:jc w:val="center"/>
            </w:pPr>
            <w:r>
              <w:rPr>
                <w:b w:val="0"/>
                <w:sz w:val="20"/>
              </w:rPr>
              <w:t>Semiconductor Supply Chain (TSMC)</w:t>
            </w:r>
          </w:p>
        </w:tc>
        <w:tc>
          <w:tcPr>
            <w:tcW w:type="dxa" w:w="1728"/>
            <w:shd w:val="clear" w:color="auto" w:fill="FFFFFF"/>
            <w:vAlign w:val="center"/>
          </w:tcPr>
          <w:p>
            <w:pPr>
              <w:spacing w:before="40" w:after="40"/>
              <w:jc w:val="center"/>
            </w:pPr>
            <w:r>
              <w:rPr>
                <w:b w:val="0"/>
                <w:sz w:val="20"/>
              </w:rPr>
              <w:t>Technological</w:t>
            </w:r>
          </w:p>
        </w:tc>
        <w:tc>
          <w:tcPr>
            <w:tcW w:type="dxa" w:w="1584"/>
            <w:shd w:val="clear" w:color="auto" w:fill="FFFFFF"/>
            <w:vAlign w:val="center"/>
          </w:tcPr>
          <w:p>
            <w:pPr>
              <w:spacing w:before="40" w:after="40"/>
              <w:jc w:val="center"/>
            </w:pPr>
            <w:r>
              <w:rPr>
                <w:b w:val="0"/>
                <w:sz w:val="20"/>
              </w:rPr>
              <w:t>High</w:t>
            </w:r>
          </w:p>
        </w:tc>
        <w:tc>
          <w:tcPr>
            <w:tcW w:type="dxa" w:w="3744"/>
            <w:shd w:val="clear" w:color="auto" w:fill="FFFFFF"/>
            <w:vAlign w:val="center"/>
          </w:tcPr>
          <w:p>
            <w:pPr>
              <w:spacing w:before="40" w:after="40"/>
              <w:jc w:val="center"/>
            </w:pPr>
            <w:r>
              <w:rPr>
                <w:b w:val="0"/>
                <w:sz w:val="20"/>
              </w:rPr>
              <w:t>Product launch continuity</w:t>
            </w:r>
          </w:p>
        </w:tc>
      </w:tr>
      <w:tr>
        <w:tc>
          <w:tcPr>
            <w:tcW w:type="dxa" w:w="576"/>
            <w:shd w:val="clear" w:color="auto" w:fill="EBF5FB"/>
            <w:vAlign w:val="center"/>
          </w:tcPr>
          <w:p>
            <w:pPr>
              <w:spacing w:before="40" w:after="40"/>
              <w:jc w:val="center"/>
            </w:pPr>
            <w:r>
              <w:rPr>
                <w:b w:val="0"/>
                <w:sz w:val="20"/>
              </w:rPr>
              <w:t>4</w:t>
            </w:r>
          </w:p>
        </w:tc>
        <w:tc>
          <w:tcPr>
            <w:tcW w:type="dxa" w:w="2736"/>
            <w:shd w:val="clear" w:color="auto" w:fill="EBF5FB"/>
            <w:vAlign w:val="center"/>
          </w:tcPr>
          <w:p>
            <w:pPr>
              <w:spacing w:before="40" w:after="40"/>
              <w:jc w:val="center"/>
            </w:pPr>
            <w:r>
              <w:rPr>
                <w:b w:val="0"/>
                <w:sz w:val="20"/>
              </w:rPr>
              <w:t>AI Competition</w:t>
            </w:r>
          </w:p>
        </w:tc>
        <w:tc>
          <w:tcPr>
            <w:tcW w:type="dxa" w:w="1728"/>
            <w:shd w:val="clear" w:color="auto" w:fill="EBF5FB"/>
            <w:vAlign w:val="center"/>
          </w:tcPr>
          <w:p>
            <w:pPr>
              <w:spacing w:before="40" w:after="40"/>
              <w:jc w:val="center"/>
            </w:pPr>
            <w:r>
              <w:rPr>
                <w:b w:val="0"/>
                <w:sz w:val="20"/>
              </w:rPr>
              <w:t>Technological</w:t>
            </w:r>
          </w:p>
        </w:tc>
        <w:tc>
          <w:tcPr>
            <w:tcW w:type="dxa" w:w="1584"/>
            <w:shd w:val="clear" w:color="auto" w:fill="EBF5FB"/>
            <w:vAlign w:val="center"/>
          </w:tcPr>
          <w:p>
            <w:pPr>
              <w:spacing w:before="40" w:after="40"/>
              <w:jc w:val="center"/>
            </w:pPr>
            <w:r>
              <w:rPr>
                <w:b w:val="0"/>
                <w:sz w:val="20"/>
              </w:rPr>
              <w:t>High</w:t>
            </w:r>
          </w:p>
        </w:tc>
        <w:tc>
          <w:tcPr>
            <w:tcW w:type="dxa" w:w="3744"/>
            <w:shd w:val="clear" w:color="auto" w:fill="EBF5FB"/>
            <w:vAlign w:val="center"/>
          </w:tcPr>
          <w:p>
            <w:pPr>
              <w:spacing w:before="40" w:after="40"/>
              <w:jc w:val="center"/>
            </w:pPr>
            <w:r>
              <w:rPr>
                <w:b w:val="0"/>
                <w:sz w:val="20"/>
              </w:rPr>
              <w:t>Premium positioning; feature differentiation</w:t>
            </w:r>
          </w:p>
        </w:tc>
      </w:tr>
      <w:tr>
        <w:tc>
          <w:tcPr>
            <w:tcW w:type="dxa" w:w="576"/>
            <w:shd w:val="clear" w:color="auto" w:fill="FFFFFF"/>
            <w:vAlign w:val="center"/>
          </w:tcPr>
          <w:p>
            <w:pPr>
              <w:spacing w:before="40" w:after="40"/>
              <w:jc w:val="center"/>
            </w:pPr>
            <w:r>
              <w:rPr>
                <w:b w:val="0"/>
                <w:sz w:val="20"/>
              </w:rPr>
              <w:t>5</w:t>
            </w:r>
          </w:p>
        </w:tc>
        <w:tc>
          <w:tcPr>
            <w:tcW w:type="dxa" w:w="2736"/>
            <w:shd w:val="clear" w:color="auto" w:fill="FFFFFF"/>
            <w:vAlign w:val="center"/>
          </w:tcPr>
          <w:p>
            <w:pPr>
              <w:spacing w:before="40" w:after="40"/>
              <w:jc w:val="center"/>
            </w:pPr>
            <w:r>
              <w:rPr>
                <w:b w:val="0"/>
                <w:sz w:val="20"/>
              </w:rPr>
              <w:t>Innovation Stagnation Risk</w:t>
            </w:r>
          </w:p>
        </w:tc>
        <w:tc>
          <w:tcPr>
            <w:tcW w:type="dxa" w:w="1728"/>
            <w:shd w:val="clear" w:color="auto" w:fill="FFFFFF"/>
            <w:vAlign w:val="center"/>
          </w:tcPr>
          <w:p>
            <w:pPr>
              <w:spacing w:before="40" w:after="40"/>
              <w:jc w:val="center"/>
            </w:pPr>
            <w:r>
              <w:rPr>
                <w:b w:val="0"/>
                <w:sz w:val="20"/>
              </w:rPr>
              <w:t>Entrepreneurial</w:t>
            </w:r>
          </w:p>
        </w:tc>
        <w:tc>
          <w:tcPr>
            <w:tcW w:type="dxa" w:w="1584"/>
            <w:shd w:val="clear" w:color="auto" w:fill="FFFFFF"/>
            <w:vAlign w:val="center"/>
          </w:tcPr>
          <w:p>
            <w:pPr>
              <w:spacing w:before="40" w:after="40"/>
              <w:jc w:val="center"/>
            </w:pPr>
            <w:r>
              <w:rPr>
                <w:b w:val="0"/>
                <w:sz w:val="20"/>
              </w:rPr>
              <w:t>Medium–High</w:t>
            </w:r>
          </w:p>
        </w:tc>
        <w:tc>
          <w:tcPr>
            <w:tcW w:type="dxa" w:w="3744"/>
            <w:shd w:val="clear" w:color="auto" w:fill="FFFFFF"/>
            <w:vAlign w:val="center"/>
          </w:tcPr>
          <w:p>
            <w:pPr>
              <w:spacing w:before="40" w:after="40"/>
              <w:jc w:val="center"/>
            </w:pPr>
            <w:r>
              <w:rPr>
                <w:b w:val="0"/>
                <w:sz w:val="20"/>
              </w:rPr>
              <w:t>iPhone upgrade cycles; brand equity</w:t>
            </w:r>
          </w:p>
        </w:tc>
      </w:tr>
      <w:tr>
        <w:tc>
          <w:tcPr>
            <w:tcW w:type="dxa" w:w="576"/>
            <w:shd w:val="clear" w:color="auto" w:fill="EBF5FB"/>
            <w:vAlign w:val="center"/>
          </w:tcPr>
          <w:p>
            <w:pPr>
              <w:spacing w:before="40" w:after="40"/>
              <w:jc w:val="center"/>
            </w:pPr>
            <w:r>
              <w:rPr>
                <w:b w:val="0"/>
                <w:sz w:val="20"/>
              </w:rPr>
              <w:t>6</w:t>
            </w:r>
          </w:p>
        </w:tc>
        <w:tc>
          <w:tcPr>
            <w:tcW w:type="dxa" w:w="2736"/>
            <w:shd w:val="clear" w:color="auto" w:fill="EBF5FB"/>
            <w:vAlign w:val="center"/>
          </w:tcPr>
          <w:p>
            <w:pPr>
              <w:spacing w:before="40" w:after="40"/>
              <w:jc w:val="center"/>
            </w:pPr>
            <w:r>
              <w:rPr>
                <w:b w:val="0"/>
                <w:sz w:val="20"/>
              </w:rPr>
              <w:t>Supply Chain Labour Practices</w:t>
            </w:r>
          </w:p>
        </w:tc>
        <w:tc>
          <w:tcPr>
            <w:tcW w:type="dxa" w:w="1728"/>
            <w:shd w:val="clear" w:color="auto" w:fill="EBF5FB"/>
            <w:vAlign w:val="center"/>
          </w:tcPr>
          <w:p>
            <w:pPr>
              <w:spacing w:before="40" w:after="40"/>
              <w:jc w:val="center"/>
            </w:pPr>
            <w:r>
              <w:rPr>
                <w:b w:val="0"/>
                <w:sz w:val="20"/>
              </w:rPr>
              <w:t>Social</w:t>
            </w:r>
          </w:p>
        </w:tc>
        <w:tc>
          <w:tcPr>
            <w:tcW w:type="dxa" w:w="1584"/>
            <w:shd w:val="clear" w:color="auto" w:fill="EBF5FB"/>
            <w:vAlign w:val="center"/>
          </w:tcPr>
          <w:p>
            <w:pPr>
              <w:spacing w:before="40" w:after="40"/>
              <w:jc w:val="center"/>
            </w:pPr>
            <w:r>
              <w:rPr>
                <w:b w:val="0"/>
                <w:sz w:val="20"/>
              </w:rPr>
              <w:t>Medium–High</w:t>
            </w:r>
          </w:p>
        </w:tc>
        <w:tc>
          <w:tcPr>
            <w:tcW w:type="dxa" w:w="3744"/>
            <w:shd w:val="clear" w:color="auto" w:fill="EBF5FB"/>
            <w:vAlign w:val="center"/>
          </w:tcPr>
          <w:p>
            <w:pPr>
              <w:spacing w:before="40" w:after="40"/>
              <w:jc w:val="center"/>
            </w:pPr>
            <w:r>
              <w:rPr>
                <w:b w:val="0"/>
                <w:sz w:val="20"/>
              </w:rPr>
              <w:t>Reputational risk; ESG sentiment</w:t>
            </w:r>
          </w:p>
        </w:tc>
      </w:tr>
      <w:tr>
        <w:tc>
          <w:tcPr>
            <w:tcW w:type="dxa" w:w="576"/>
            <w:shd w:val="clear" w:color="auto" w:fill="FFFFFF"/>
            <w:vAlign w:val="center"/>
          </w:tcPr>
          <w:p>
            <w:pPr>
              <w:spacing w:before="40" w:after="40"/>
              <w:jc w:val="center"/>
            </w:pPr>
            <w:r>
              <w:rPr>
                <w:b w:val="0"/>
                <w:sz w:val="20"/>
              </w:rPr>
              <w:t>7</w:t>
            </w:r>
          </w:p>
        </w:tc>
        <w:tc>
          <w:tcPr>
            <w:tcW w:type="dxa" w:w="2736"/>
            <w:shd w:val="clear" w:color="auto" w:fill="FFFFFF"/>
            <w:vAlign w:val="center"/>
          </w:tcPr>
          <w:p>
            <w:pPr>
              <w:spacing w:before="40" w:after="40"/>
              <w:jc w:val="center"/>
            </w:pPr>
            <w:r>
              <w:rPr>
                <w:b w:val="0"/>
                <w:sz w:val="20"/>
              </w:rPr>
              <w:t>Services Diversification Constraints</w:t>
            </w:r>
          </w:p>
        </w:tc>
        <w:tc>
          <w:tcPr>
            <w:tcW w:type="dxa" w:w="1728"/>
            <w:shd w:val="clear" w:color="auto" w:fill="FFFFFF"/>
            <w:vAlign w:val="center"/>
          </w:tcPr>
          <w:p>
            <w:pPr>
              <w:spacing w:before="40" w:after="40"/>
              <w:jc w:val="center"/>
            </w:pPr>
            <w:r>
              <w:rPr>
                <w:b w:val="0"/>
                <w:sz w:val="20"/>
              </w:rPr>
              <w:t>Entrepreneurial</w:t>
            </w:r>
          </w:p>
        </w:tc>
        <w:tc>
          <w:tcPr>
            <w:tcW w:type="dxa" w:w="1584"/>
            <w:shd w:val="clear" w:color="auto" w:fill="FFFFFF"/>
            <w:vAlign w:val="center"/>
          </w:tcPr>
          <w:p>
            <w:pPr>
              <w:spacing w:before="40" w:after="40"/>
              <w:jc w:val="center"/>
            </w:pPr>
            <w:r>
              <w:rPr>
                <w:b w:val="0"/>
                <w:sz w:val="20"/>
              </w:rPr>
              <w:t>Medium</w:t>
            </w:r>
          </w:p>
        </w:tc>
        <w:tc>
          <w:tcPr>
            <w:tcW w:type="dxa" w:w="3744"/>
            <w:shd w:val="clear" w:color="auto" w:fill="FFFFFF"/>
            <w:vAlign w:val="center"/>
          </w:tcPr>
          <w:p>
            <w:pPr>
              <w:spacing w:before="40" w:after="40"/>
              <w:jc w:val="center"/>
            </w:pPr>
            <w:r>
              <w:rPr>
                <w:b w:val="0"/>
                <w:sz w:val="20"/>
              </w:rPr>
              <w:t>Revenue growth ceiling</w:t>
            </w:r>
          </w:p>
        </w:tc>
      </w:tr>
      <w:tr>
        <w:tc>
          <w:tcPr>
            <w:tcW w:type="dxa" w:w="576"/>
            <w:shd w:val="clear" w:color="auto" w:fill="EBF5FB"/>
            <w:vAlign w:val="center"/>
          </w:tcPr>
          <w:p>
            <w:pPr>
              <w:spacing w:before="40" w:after="40"/>
              <w:jc w:val="center"/>
            </w:pPr>
            <w:r>
              <w:rPr>
                <w:b w:val="0"/>
                <w:sz w:val="20"/>
              </w:rPr>
              <w:t>8</w:t>
            </w:r>
          </w:p>
        </w:tc>
        <w:tc>
          <w:tcPr>
            <w:tcW w:type="dxa" w:w="2736"/>
            <w:shd w:val="clear" w:color="auto" w:fill="EBF5FB"/>
            <w:vAlign w:val="center"/>
          </w:tcPr>
          <w:p>
            <w:pPr>
              <w:spacing w:before="40" w:after="40"/>
              <w:jc w:val="center"/>
            </w:pPr>
            <w:r>
              <w:rPr>
                <w:b w:val="0"/>
                <w:sz w:val="20"/>
              </w:rPr>
              <w:t>Digital Wellbeing &amp; Youth Mental Health</w:t>
            </w:r>
          </w:p>
        </w:tc>
        <w:tc>
          <w:tcPr>
            <w:tcW w:type="dxa" w:w="1728"/>
            <w:shd w:val="clear" w:color="auto" w:fill="EBF5FB"/>
            <w:vAlign w:val="center"/>
          </w:tcPr>
          <w:p>
            <w:pPr>
              <w:spacing w:before="40" w:after="40"/>
              <w:jc w:val="center"/>
            </w:pPr>
            <w:r>
              <w:rPr>
                <w:b w:val="0"/>
                <w:sz w:val="20"/>
              </w:rPr>
              <w:t>Social</w:t>
            </w:r>
          </w:p>
        </w:tc>
        <w:tc>
          <w:tcPr>
            <w:tcW w:type="dxa" w:w="1584"/>
            <w:shd w:val="clear" w:color="auto" w:fill="EBF5FB"/>
            <w:vAlign w:val="center"/>
          </w:tcPr>
          <w:p>
            <w:pPr>
              <w:spacing w:before="40" w:after="40"/>
              <w:jc w:val="center"/>
            </w:pPr>
            <w:r>
              <w:rPr>
                <w:b w:val="0"/>
                <w:sz w:val="20"/>
              </w:rPr>
              <w:t>Medium</w:t>
            </w:r>
          </w:p>
        </w:tc>
        <w:tc>
          <w:tcPr>
            <w:tcW w:type="dxa" w:w="3744"/>
            <w:shd w:val="clear" w:color="auto" w:fill="EBF5FB"/>
            <w:vAlign w:val="center"/>
          </w:tcPr>
          <w:p>
            <w:pPr>
              <w:spacing w:before="40" w:after="40"/>
              <w:jc w:val="center"/>
            </w:pPr>
            <w:r>
              <w:rPr>
                <w:b w:val="0"/>
                <w:sz w:val="20"/>
              </w:rPr>
              <w:t>Regulatory intervention risk</w:t>
            </w:r>
          </w:p>
        </w:tc>
      </w:tr>
    </w:tbl>
    <w:p>
      <w:pPr>
        <w:spacing w:before="60" w:after="200"/>
        <w:jc w:val="center"/>
      </w:pPr>
      <w:r>
        <w:rPr>
          <w:b/>
          <w:sz w:val="20"/>
        </w:rPr>
        <w:t>Table 1: Apple Inc. — Business Challenges Ranked by Impact</w:t>
      </w:r>
    </w:p>
    <w:p>
      <w:pPr>
        <w:pStyle w:val="Heading1"/>
        <w:jc w:val="left"/>
      </w:pPr>
      <w:r>
        <w:rPr>
          <w:color w:val="1B3A5C"/>
        </w:rPr>
        <w:t>3. External Environment Analysis</w:t>
      </w:r>
    </w:p>
    <w:p>
      <w:pPr>
        <w:spacing w:before="0" w:after="160"/>
        <w:jc w:val="both"/>
      </w:pPr>
      <w:r>
        <w:rPr>
          <w:b w:val="0"/>
          <w:i w:val="0"/>
          <w:sz w:val="22"/>
        </w:rPr>
        <w:t>The PESTEL framework provides a structured lens for mapping macro-environmental factors across national and international contexts (Johnson et al., 2017). Table 2 presents a summary overview, followed by an in-depth discussion of each dimension.</w:t>
      </w:r>
    </w:p>
    <w:tbl>
      <w:tblPr>
        <w:tblStyle w:val="TableGrid"/>
        <w:tblW w:type="auto" w:w="0"/>
        <w:jc w:val="center"/>
        <w:tblLook w:firstColumn="1" w:firstRow="1" w:lastColumn="0" w:lastRow="0" w:noHBand="0" w:noVBand="1" w:val="04A0"/>
      </w:tblPr>
      <w:tblGrid>
        <w:gridCol w:w="2196"/>
        <w:gridCol w:w="2196"/>
        <w:gridCol w:w="2196"/>
        <w:gridCol w:w="2196"/>
      </w:tblGrid>
      <w:tr>
        <w:tc>
          <w:tcPr>
            <w:tcW w:type="dxa" w:w="1440"/>
            <w:shd w:val="clear" w:color="auto" w:fill="1B3A5C"/>
            <w:vAlign w:val="center"/>
          </w:tcPr>
          <w:p>
            <w:pPr>
              <w:spacing w:before="40" w:after="40"/>
              <w:jc w:val="center"/>
            </w:pPr>
            <w:r>
              <w:rPr>
                <w:b/>
                <w:color w:val="FFFFFF"/>
                <w:sz w:val="20"/>
              </w:rPr>
              <w:t>Dimension</w:t>
            </w:r>
          </w:p>
        </w:tc>
        <w:tc>
          <w:tcPr>
            <w:tcW w:type="dxa" w:w="3168"/>
            <w:shd w:val="clear" w:color="auto" w:fill="1B3A5C"/>
            <w:vAlign w:val="center"/>
          </w:tcPr>
          <w:p>
            <w:pPr>
              <w:spacing w:before="40" w:after="40"/>
              <w:jc w:val="center"/>
            </w:pPr>
            <w:r>
              <w:rPr>
                <w:b/>
                <w:color w:val="FFFFFF"/>
                <w:sz w:val="20"/>
              </w:rPr>
              <w:t>Key Factor</w:t>
            </w:r>
          </w:p>
        </w:tc>
        <w:tc>
          <w:tcPr>
            <w:tcW w:type="dxa" w:w="3024"/>
            <w:shd w:val="clear" w:color="auto" w:fill="1B3A5C"/>
            <w:vAlign w:val="center"/>
          </w:tcPr>
          <w:p>
            <w:pPr>
              <w:spacing w:before="40" w:after="40"/>
              <w:jc w:val="center"/>
            </w:pPr>
            <w:r>
              <w:rPr>
                <w:b/>
                <w:color w:val="FFFFFF"/>
                <w:sz w:val="20"/>
              </w:rPr>
              <w:t>Impact on Apple</w:t>
            </w:r>
          </w:p>
        </w:tc>
        <w:tc>
          <w:tcPr>
            <w:tcW w:type="dxa" w:w="1584"/>
            <w:shd w:val="clear" w:color="auto" w:fill="1B3A5C"/>
            <w:vAlign w:val="center"/>
          </w:tcPr>
          <w:p>
            <w:pPr>
              <w:spacing w:before="40" w:after="40"/>
              <w:jc w:val="center"/>
            </w:pPr>
            <w:r>
              <w:rPr>
                <w:b/>
                <w:color w:val="FFFFFF"/>
                <w:sz w:val="20"/>
              </w:rPr>
              <w:t>Context</w:t>
            </w:r>
          </w:p>
        </w:tc>
      </w:tr>
      <w:tr>
        <w:tc>
          <w:tcPr>
            <w:tcW w:type="dxa" w:w="1440"/>
            <w:shd w:val="clear" w:color="auto" w:fill="FFFFFF"/>
            <w:vAlign w:val="center"/>
          </w:tcPr>
          <w:p>
            <w:pPr>
              <w:spacing w:before="40" w:after="40"/>
              <w:jc w:val="center"/>
            </w:pPr>
            <w:r>
              <w:rPr>
                <w:b w:val="0"/>
                <w:sz w:val="20"/>
              </w:rPr>
              <w:t>Political</w:t>
            </w:r>
          </w:p>
        </w:tc>
        <w:tc>
          <w:tcPr>
            <w:tcW w:type="dxa" w:w="3168"/>
            <w:shd w:val="clear" w:color="auto" w:fill="FFFFFF"/>
            <w:vAlign w:val="center"/>
          </w:tcPr>
          <w:p>
            <w:pPr>
              <w:spacing w:before="40" w:after="40"/>
              <w:jc w:val="center"/>
            </w:pPr>
            <w:r>
              <w:rPr>
                <w:b w:val="0"/>
                <w:sz w:val="20"/>
              </w:rPr>
              <w:t>US–China trade war; EU DMA; DOJ antitrust lawsuit</w:t>
            </w:r>
          </w:p>
        </w:tc>
        <w:tc>
          <w:tcPr>
            <w:tcW w:type="dxa" w:w="3024"/>
            <w:shd w:val="clear" w:color="auto" w:fill="FFFFFF"/>
            <w:vAlign w:val="center"/>
          </w:tcPr>
          <w:p>
            <w:pPr>
              <w:spacing w:before="40" w:after="40"/>
              <w:jc w:val="center"/>
            </w:pPr>
            <w:r>
              <w:rPr>
                <w:b w:val="0"/>
                <w:sz w:val="20"/>
              </w:rPr>
              <w:t>Threatens supply chain and services revenue model</w:t>
            </w:r>
          </w:p>
        </w:tc>
        <w:tc>
          <w:tcPr>
            <w:tcW w:type="dxa" w:w="1584"/>
            <w:shd w:val="clear" w:color="auto" w:fill="FFFFFF"/>
            <w:vAlign w:val="center"/>
          </w:tcPr>
          <w:p>
            <w:pPr>
              <w:spacing w:before="40" w:after="40"/>
              <w:jc w:val="center"/>
            </w:pPr>
            <w:r>
              <w:rPr>
                <w:b w:val="0"/>
                <w:sz w:val="20"/>
              </w:rPr>
              <w:t>Global / EU</w:t>
            </w:r>
          </w:p>
        </w:tc>
      </w:tr>
      <w:tr>
        <w:tc>
          <w:tcPr>
            <w:tcW w:type="dxa" w:w="1440"/>
            <w:shd w:val="clear" w:color="auto" w:fill="EBF5FB"/>
            <w:vAlign w:val="center"/>
          </w:tcPr>
          <w:p>
            <w:pPr>
              <w:spacing w:before="40" w:after="40"/>
              <w:jc w:val="center"/>
            </w:pPr>
            <w:r>
              <w:rPr>
                <w:b w:val="0"/>
                <w:sz w:val="20"/>
              </w:rPr>
              <w:t>Economic</w:t>
            </w:r>
          </w:p>
        </w:tc>
        <w:tc>
          <w:tcPr>
            <w:tcW w:type="dxa" w:w="3168"/>
            <w:shd w:val="clear" w:color="auto" w:fill="EBF5FB"/>
            <w:vAlign w:val="center"/>
          </w:tcPr>
          <w:p>
            <w:pPr>
              <w:spacing w:before="40" w:after="40"/>
              <w:jc w:val="center"/>
            </w:pPr>
            <w:r>
              <w:rPr>
                <w:b w:val="0"/>
                <w:sz w:val="20"/>
              </w:rPr>
              <w:t>Currency fluctuation; premium pricing pressure; chip cost inflation</w:t>
            </w:r>
          </w:p>
        </w:tc>
        <w:tc>
          <w:tcPr>
            <w:tcW w:type="dxa" w:w="3024"/>
            <w:shd w:val="clear" w:color="auto" w:fill="EBF5FB"/>
            <w:vAlign w:val="center"/>
          </w:tcPr>
          <w:p>
            <w:pPr>
              <w:spacing w:before="40" w:after="40"/>
              <w:jc w:val="center"/>
            </w:pPr>
            <w:r>
              <w:rPr>
                <w:b w:val="0"/>
                <w:sz w:val="20"/>
              </w:rPr>
              <w:t>Margin compression; limits emerging-market growth</w:t>
            </w:r>
          </w:p>
        </w:tc>
        <w:tc>
          <w:tcPr>
            <w:tcW w:type="dxa" w:w="1584"/>
            <w:shd w:val="clear" w:color="auto" w:fill="EBF5FB"/>
            <w:vAlign w:val="center"/>
          </w:tcPr>
          <w:p>
            <w:pPr>
              <w:spacing w:before="40" w:after="40"/>
              <w:jc w:val="center"/>
            </w:pPr>
            <w:r>
              <w:rPr>
                <w:b w:val="0"/>
                <w:sz w:val="20"/>
              </w:rPr>
              <w:t>Global</w:t>
            </w:r>
          </w:p>
        </w:tc>
      </w:tr>
      <w:tr>
        <w:tc>
          <w:tcPr>
            <w:tcW w:type="dxa" w:w="1440"/>
            <w:shd w:val="clear" w:color="auto" w:fill="FFFFFF"/>
            <w:vAlign w:val="center"/>
          </w:tcPr>
          <w:p>
            <w:pPr>
              <w:spacing w:before="40" w:after="40"/>
              <w:jc w:val="center"/>
            </w:pPr>
            <w:r>
              <w:rPr>
                <w:b w:val="0"/>
                <w:sz w:val="20"/>
              </w:rPr>
              <w:t>Social</w:t>
            </w:r>
          </w:p>
        </w:tc>
        <w:tc>
          <w:tcPr>
            <w:tcW w:type="dxa" w:w="3168"/>
            <w:shd w:val="clear" w:color="auto" w:fill="FFFFFF"/>
            <w:vAlign w:val="center"/>
          </w:tcPr>
          <w:p>
            <w:pPr>
              <w:spacing w:before="40" w:after="40"/>
              <w:jc w:val="center"/>
            </w:pPr>
            <w:r>
              <w:rPr>
                <w:b w:val="0"/>
                <w:sz w:val="20"/>
              </w:rPr>
              <w:t>Ethical consumerism; youth digital wellbeing; diversity expectations</w:t>
            </w:r>
          </w:p>
        </w:tc>
        <w:tc>
          <w:tcPr>
            <w:tcW w:type="dxa" w:w="3024"/>
            <w:shd w:val="clear" w:color="auto" w:fill="FFFFFF"/>
            <w:vAlign w:val="center"/>
          </w:tcPr>
          <w:p>
            <w:pPr>
              <w:spacing w:before="40" w:after="40"/>
              <w:jc w:val="center"/>
            </w:pPr>
            <w:r>
              <w:rPr>
                <w:b w:val="0"/>
                <w:sz w:val="20"/>
              </w:rPr>
              <w:t>Reputational risk; legislative exposure</w:t>
            </w:r>
          </w:p>
        </w:tc>
        <w:tc>
          <w:tcPr>
            <w:tcW w:type="dxa" w:w="1584"/>
            <w:shd w:val="clear" w:color="auto" w:fill="FFFFFF"/>
            <w:vAlign w:val="center"/>
          </w:tcPr>
          <w:p>
            <w:pPr>
              <w:spacing w:before="40" w:after="40"/>
              <w:jc w:val="center"/>
            </w:pPr>
            <w:r>
              <w:rPr>
                <w:b w:val="0"/>
                <w:sz w:val="20"/>
              </w:rPr>
              <w:t>Local / Global</w:t>
            </w:r>
          </w:p>
        </w:tc>
      </w:tr>
      <w:tr>
        <w:tc>
          <w:tcPr>
            <w:tcW w:type="dxa" w:w="1440"/>
            <w:shd w:val="clear" w:color="auto" w:fill="EBF5FB"/>
            <w:vAlign w:val="center"/>
          </w:tcPr>
          <w:p>
            <w:pPr>
              <w:spacing w:before="40" w:after="40"/>
              <w:jc w:val="center"/>
            </w:pPr>
            <w:r>
              <w:rPr>
                <w:b w:val="0"/>
                <w:sz w:val="20"/>
              </w:rPr>
              <w:t>Technological</w:t>
            </w:r>
          </w:p>
        </w:tc>
        <w:tc>
          <w:tcPr>
            <w:tcW w:type="dxa" w:w="3168"/>
            <w:shd w:val="clear" w:color="auto" w:fill="EBF5FB"/>
            <w:vAlign w:val="center"/>
          </w:tcPr>
          <w:p>
            <w:pPr>
              <w:spacing w:before="40" w:after="40"/>
              <w:jc w:val="center"/>
            </w:pPr>
            <w:r>
              <w:rPr>
                <w:b w:val="0"/>
                <w:sz w:val="20"/>
              </w:rPr>
              <w:t>AI arms race; TSMC dependency; AR/VR emergence</w:t>
            </w:r>
          </w:p>
        </w:tc>
        <w:tc>
          <w:tcPr>
            <w:tcW w:type="dxa" w:w="3024"/>
            <w:shd w:val="clear" w:color="auto" w:fill="EBF5FB"/>
            <w:vAlign w:val="center"/>
          </w:tcPr>
          <w:p>
            <w:pPr>
              <w:spacing w:before="40" w:after="40"/>
              <w:jc w:val="center"/>
            </w:pPr>
            <w:r>
              <w:rPr>
                <w:b w:val="0"/>
                <w:sz w:val="20"/>
              </w:rPr>
              <w:t>Competitive differentiation; supply continuity</w:t>
            </w:r>
          </w:p>
        </w:tc>
        <w:tc>
          <w:tcPr>
            <w:tcW w:type="dxa" w:w="1584"/>
            <w:shd w:val="clear" w:color="auto" w:fill="EBF5FB"/>
            <w:vAlign w:val="center"/>
          </w:tcPr>
          <w:p>
            <w:pPr>
              <w:spacing w:before="40" w:after="40"/>
              <w:jc w:val="center"/>
            </w:pPr>
            <w:r>
              <w:rPr>
                <w:b w:val="0"/>
                <w:sz w:val="20"/>
              </w:rPr>
              <w:t>Global</w:t>
            </w:r>
          </w:p>
        </w:tc>
      </w:tr>
      <w:tr>
        <w:tc>
          <w:tcPr>
            <w:tcW w:type="dxa" w:w="1440"/>
            <w:shd w:val="clear" w:color="auto" w:fill="FFFFFF"/>
            <w:vAlign w:val="center"/>
          </w:tcPr>
          <w:p>
            <w:pPr>
              <w:spacing w:before="40" w:after="40"/>
              <w:jc w:val="center"/>
            </w:pPr>
            <w:r>
              <w:rPr>
                <w:b w:val="0"/>
                <w:sz w:val="20"/>
              </w:rPr>
              <w:t>Environmental</w:t>
            </w:r>
          </w:p>
        </w:tc>
        <w:tc>
          <w:tcPr>
            <w:tcW w:type="dxa" w:w="3168"/>
            <w:shd w:val="clear" w:color="auto" w:fill="FFFFFF"/>
            <w:vAlign w:val="center"/>
          </w:tcPr>
          <w:p>
            <w:pPr>
              <w:spacing w:before="40" w:after="40"/>
              <w:jc w:val="center"/>
            </w:pPr>
            <w:r>
              <w:rPr>
                <w:b w:val="0"/>
                <w:sz w:val="20"/>
              </w:rPr>
              <w:t>Carbon neutrality target 2030; e-waste regulation</w:t>
            </w:r>
          </w:p>
        </w:tc>
        <w:tc>
          <w:tcPr>
            <w:tcW w:type="dxa" w:w="3024"/>
            <w:shd w:val="clear" w:color="auto" w:fill="FFFFFF"/>
            <w:vAlign w:val="center"/>
          </w:tcPr>
          <w:p>
            <w:pPr>
              <w:spacing w:before="40" w:after="40"/>
              <w:jc w:val="center"/>
            </w:pPr>
            <w:r>
              <w:rPr>
                <w:b w:val="0"/>
                <w:sz w:val="20"/>
              </w:rPr>
              <w:t>Capital expenditure; compliance obligations</w:t>
            </w:r>
          </w:p>
        </w:tc>
        <w:tc>
          <w:tcPr>
            <w:tcW w:type="dxa" w:w="1584"/>
            <w:shd w:val="clear" w:color="auto" w:fill="FFFFFF"/>
            <w:vAlign w:val="center"/>
          </w:tcPr>
          <w:p>
            <w:pPr>
              <w:spacing w:before="40" w:after="40"/>
              <w:jc w:val="center"/>
            </w:pPr>
            <w:r>
              <w:rPr>
                <w:b w:val="0"/>
                <w:sz w:val="20"/>
              </w:rPr>
              <w:t>Global / EU</w:t>
            </w:r>
          </w:p>
        </w:tc>
      </w:tr>
      <w:tr>
        <w:tc>
          <w:tcPr>
            <w:tcW w:type="dxa" w:w="1440"/>
            <w:shd w:val="clear" w:color="auto" w:fill="EBF5FB"/>
            <w:vAlign w:val="center"/>
          </w:tcPr>
          <w:p>
            <w:pPr>
              <w:spacing w:before="40" w:after="40"/>
              <w:jc w:val="center"/>
            </w:pPr>
            <w:r>
              <w:rPr>
                <w:b w:val="0"/>
                <w:sz w:val="20"/>
              </w:rPr>
              <w:t>Legal</w:t>
            </w:r>
          </w:p>
        </w:tc>
        <w:tc>
          <w:tcPr>
            <w:tcW w:type="dxa" w:w="3168"/>
            <w:shd w:val="clear" w:color="auto" w:fill="EBF5FB"/>
            <w:vAlign w:val="center"/>
          </w:tcPr>
          <w:p>
            <w:pPr>
              <w:spacing w:before="40" w:after="40"/>
              <w:jc w:val="center"/>
            </w:pPr>
            <w:r>
              <w:rPr>
                <w:b w:val="0"/>
                <w:sz w:val="20"/>
              </w:rPr>
              <w:t>GDPR; right-to-repair laws; App Store rulings</w:t>
            </w:r>
          </w:p>
        </w:tc>
        <w:tc>
          <w:tcPr>
            <w:tcW w:type="dxa" w:w="3024"/>
            <w:shd w:val="clear" w:color="auto" w:fill="EBF5FB"/>
            <w:vAlign w:val="center"/>
          </w:tcPr>
          <w:p>
            <w:pPr>
              <w:spacing w:before="40" w:after="40"/>
              <w:jc w:val="center"/>
            </w:pPr>
            <w:r>
              <w:rPr>
                <w:b w:val="0"/>
                <w:sz w:val="20"/>
              </w:rPr>
              <w:t>Forces ecosystem openness; increases compliance costs</w:t>
            </w:r>
          </w:p>
        </w:tc>
        <w:tc>
          <w:tcPr>
            <w:tcW w:type="dxa" w:w="1584"/>
            <w:shd w:val="clear" w:color="auto" w:fill="EBF5FB"/>
            <w:vAlign w:val="center"/>
          </w:tcPr>
          <w:p>
            <w:pPr>
              <w:spacing w:before="40" w:after="40"/>
              <w:jc w:val="center"/>
            </w:pPr>
            <w:r>
              <w:rPr>
                <w:b w:val="0"/>
                <w:sz w:val="20"/>
              </w:rPr>
              <w:t>EU / US</w:t>
            </w:r>
          </w:p>
        </w:tc>
      </w:tr>
    </w:tbl>
    <w:p>
      <w:pPr>
        <w:spacing w:before="60" w:after="200"/>
        <w:jc w:val="center"/>
      </w:pPr>
      <w:r>
        <w:rPr>
          <w:b/>
          <w:sz w:val="20"/>
        </w:rPr>
        <w:t>Table 2: PESTEL Analysis of Apple Inc.</w:t>
      </w:r>
    </w:p>
    <w:p>
      <w:pPr>
        <w:spacing w:before="0" w:after="80"/>
        <w:jc w:val="both"/>
      </w:pPr>
      <w:r>
        <w:rPr>
          <w:b/>
          <w:i w:val="0"/>
          <w:sz w:val="22"/>
        </w:rPr>
        <w:t>3.1  Political Factors</w:t>
      </w:r>
    </w:p>
    <w:p>
      <w:pPr>
        <w:spacing w:before="0" w:after="160"/>
        <w:jc w:val="both"/>
      </w:pPr>
      <w:r>
        <w:rPr>
          <w:b w:val="0"/>
          <w:i w:val="0"/>
          <w:sz w:val="22"/>
        </w:rPr>
        <w:t>The political environment is the most consequential dimension of Apple's external landscape. US–China trade tensions create a dual exposure: tariffs and technology export controls threaten Apple's China-based manufacturing network, while the risk of state-directed consumer boycotts — as seen when the Chinese government restricted iPhone use by state employees in 2023 — threatens revenue in Apple's third-largest market (Peng and Meyer, 2019). In the EU, the Digital Markets Act dismantles the closed-ecosystem strategy through which Apple captures value from over two billion active devices, while concurrent DOJ action in the US signals that regulatory headwinds are structural rather than episodic (European Commission, 2024).</w:t>
      </w:r>
    </w:p>
    <w:p>
      <w:pPr>
        <w:spacing w:before="0" w:after="80"/>
        <w:jc w:val="both"/>
      </w:pPr>
      <w:r>
        <w:rPr>
          <w:b/>
          <w:i w:val="0"/>
          <w:sz w:val="22"/>
        </w:rPr>
        <w:t>3.2  Economic Factors</w:t>
      </w:r>
    </w:p>
    <w:p>
      <w:pPr>
        <w:spacing w:before="0" w:after="160"/>
        <w:jc w:val="both"/>
      </w:pPr>
      <w:r>
        <w:rPr>
          <w:b w:val="0"/>
          <w:i w:val="0"/>
          <w:sz w:val="22"/>
        </w:rPr>
        <w:t>Apple's premium positioning makes it acutely sensitive to macroeconomic conditions. Elevated inflation and rising interest rates cause consumers in middle-income markets such as Brazil, India and Southeast Asia to delay spending on high-end electronics. Apple generates revenues in over 150 currencies but reports in US dollars; a strong dollar directly reduces the translated value of international revenues, contributing to a 3 per cent total revenue decline between FY2022 and FY2023 (Apple Inc., 2023). Rising semiconductor fabrication costs also pressure gross margins, challenging Apple's ability to sustain margins above 44 per cent while absorbing tariff costs (Johnson et al., 2017).</w:t>
      </w:r>
    </w:p>
    <w:p>
      <w:pPr>
        <w:spacing w:before="0" w:after="80"/>
        <w:jc w:val="both"/>
      </w:pPr>
      <w:r>
        <w:rPr>
          <w:b/>
          <w:i w:val="0"/>
          <w:sz w:val="22"/>
        </w:rPr>
        <w:t>3.3  Social Factors</w:t>
      </w:r>
    </w:p>
    <w:p>
      <w:pPr>
        <w:spacing w:before="0" w:after="160"/>
        <w:jc w:val="both"/>
      </w:pPr>
      <w:r>
        <w:rPr>
          <w:b w:val="0"/>
          <w:i w:val="0"/>
          <w:sz w:val="22"/>
        </w:rPr>
        <w:t>Shifting social values present both risks and opportunities. Ethical consumerism means a growing proportion of Apple's Western customer base scrutinises supply chain labour standards, environmental footprint and data privacy. Apple has responded with a commitment to supply chain carbon neutrality by 2030 and annual Supplier Responsibility Reports, but civil society organisations continue to document compliance failures at tier-two and tier-three suppliers (Crane and Matten, 2016). On the demand side, rising health technology adoption among older demographics creates incremental opportunities via Apple Watch and Apple Health, partly offsetting the regulatory uncertainty around under-16 device usage.</w:t>
      </w:r>
    </w:p>
    <w:p>
      <w:pPr>
        <w:spacing w:before="0" w:after="80"/>
        <w:jc w:val="both"/>
      </w:pPr>
      <w:r>
        <w:rPr>
          <w:b/>
          <w:i w:val="0"/>
          <w:sz w:val="22"/>
        </w:rPr>
        <w:t>3.4  Technological Factors</w:t>
      </w:r>
    </w:p>
    <w:p>
      <w:pPr>
        <w:spacing w:before="0" w:after="160"/>
        <w:jc w:val="both"/>
      </w:pPr>
      <w:r>
        <w:rPr>
          <w:b w:val="0"/>
          <w:i w:val="0"/>
          <w:sz w:val="22"/>
        </w:rPr>
        <w:t>Technology is both Apple's greatest competitive asset and a source of pressing vulnerability. The emergence of generative AI as the new battleground for consumer technology means AI capability increasingly determines smartphone purchase decisions. Apple Intelligence, launched in late 2024, integrates large language model functionality directly into iOS and macOS, but its initial feature set was narrower than rival offerings from Google and Microsoft (Hill and Hult, 2022). Separately, Apple's exclusive reliance on TSMC in Taiwan for fabricating its advanced chips represents a single point of supply failure. Apple has co-invested with TSMC in an Arizona facility scheduled for 2026, but this will cover only a fraction of total requirements (Verbeke, 2013).</w:t>
      </w:r>
    </w:p>
    <w:p>
      <w:pPr>
        <w:spacing w:before="0" w:after="80"/>
        <w:jc w:val="both"/>
      </w:pPr>
      <w:r>
        <w:rPr>
          <w:b/>
          <w:i w:val="0"/>
          <w:sz w:val="22"/>
        </w:rPr>
        <w:t>3.5  Environmental Factors</w:t>
      </w:r>
    </w:p>
    <w:p>
      <w:pPr>
        <w:spacing w:before="0" w:after="160"/>
        <w:jc w:val="both"/>
      </w:pPr>
      <w:r>
        <w:rPr>
          <w:b w:val="0"/>
          <w:i w:val="0"/>
          <w:sz w:val="22"/>
        </w:rPr>
        <w:t>Apple achieved carbon neutrality across its own operations in 2020 and has pledged to extend this to its entire supply chain and product lifecycle by 2030 (Apple Inc., 2023). This requires energy transformation across more than 9,000 suppliers, representing a major operational programme. Concurrently, tightening e-waste regulation across the EU and growing right-to-repair legislation — enacted in several US states and under EU consideration — are compelling Apple to revise its historically proprietary hardware design philosophy, with implications for both product architecture and aftermarket service revenue.</w:t>
      </w:r>
    </w:p>
    <w:p>
      <w:pPr>
        <w:spacing w:before="0" w:after="80"/>
        <w:jc w:val="both"/>
      </w:pPr>
      <w:r>
        <w:rPr>
          <w:b/>
          <w:i w:val="0"/>
          <w:sz w:val="22"/>
        </w:rPr>
        <w:t>3.6  Legal Factors</w:t>
      </w:r>
    </w:p>
    <w:p>
      <w:pPr>
        <w:spacing w:before="0" w:after="160"/>
        <w:jc w:val="both"/>
      </w:pPr>
      <w:r>
        <w:rPr>
          <w:b w:val="0"/>
          <w:i w:val="0"/>
          <w:sz w:val="22"/>
        </w:rPr>
        <w:t>Apple faces an increasingly adversarial legal environment in its two largest markets. In the EU, the General Data Protection Regulation imposes strict data processing obligations, and the Digital Markets Act requires fundamental changes to how Apple distributes software and processes payments across all 27 member states (European Commission, 2024). In the United States, the DOJ's March 2024 antitrust complaint alleges that Apple's policies — including blocking super apps and cloud streaming games — violate the Sherman Act (US Department of Justice, 2024). These concurrent legal proceedings in Europe and the US represent the most significant structural threat to Apple's business model in a decade.</w:t>
      </w:r>
    </w:p>
    <w:p>
      <w:pPr>
        <w:pStyle w:val="Heading1"/>
        <w:jc w:val="left"/>
      </w:pPr>
      <w:r>
        <w:rPr>
          <w:color w:val="1B3A5C"/>
        </w:rPr>
        <w:t>4. Conclusion</w:t>
      </w:r>
    </w:p>
    <w:p>
      <w:pPr>
        <w:spacing w:before="0" w:after="160"/>
        <w:jc w:val="both"/>
      </w:pPr>
      <w:r>
        <w:rPr>
          <w:b w:val="0"/>
          <w:i w:val="0"/>
          <w:sz w:val="22"/>
        </w:rPr>
        <w:t>This assignment has examined the external business environment of Apple Inc. through an analysis of eight challenges across entrepreneurial, social, political and technological dimensions, and a full PESTEL assessment. The analysis reveals that the most critical threats are the US–China geopolitical rupture — which simultaneously endangers the supply chain and the company's largest international growth market — and the tightening regulatory environment in the EU and United States, which directly challenges the closed-ecosystem strategy underpinning Apple's services growth.</w:t>
      </w:r>
    </w:p>
    <w:p>
      <w:pPr>
        <w:spacing w:before="0" w:after="160"/>
        <w:jc w:val="both"/>
      </w:pPr>
      <w:r>
        <w:rPr>
          <w:b w:val="0"/>
          <w:i w:val="0"/>
          <w:sz w:val="22"/>
        </w:rPr>
        <w:t>The PESTEL analysis demonstrates that Apple's challenges are deeply interconnected: political trade tensions amplify economic margin pressures; legal antitrust actions constrain the entrepreneurial space for services diversification; and social expectations intersect with environmental obligations to drive significant capital expenditure. This complexity affirms a central insight of international business theory: sustained competitive success requires continuous, systematic monitoring of a macro-environment that evolves across multiple dimensions simultaneously (Peng and Meyer, 2019).</w:t>
      </w:r>
    </w:p>
    <w:p>
      <w:pPr>
        <w:pStyle w:val="Heading1"/>
        <w:jc w:val="left"/>
      </w:pPr>
      <w:r>
        <w:rPr>
          <w:color w:val="1B3A5C"/>
        </w:rPr>
        <w:t>5. References</w:t>
      </w:r>
    </w:p>
    <w:p>
      <w:pPr>
        <w:spacing w:after="100"/>
        <w:ind w:left="576" w:hanging="576"/>
        <w:jc w:val="both"/>
      </w:pPr>
      <w:r>
        <w:rPr>
          <w:sz w:val="21"/>
        </w:rPr>
        <w:t>Apple Inc., 2023. Annual Report 2023 (Form 10-K). Cupertino, CA: Apple Inc. Available at: https://investor.apple.com [Accessed: 16 June 2026].</w:t>
      </w:r>
    </w:p>
    <w:p>
      <w:pPr>
        <w:spacing w:after="100"/>
        <w:ind w:left="576" w:hanging="576"/>
        <w:jc w:val="both"/>
      </w:pPr>
      <w:r>
        <w:rPr>
          <w:sz w:val="21"/>
        </w:rPr>
        <w:t>BBC News, 2024. Apple fined €1.8bn by EU over Spotify music streaming. [Online] Available at: https://www.bbc.co.uk/news/technology-68528780 [Accessed: 16 June 2026].</w:t>
      </w:r>
    </w:p>
    <w:p>
      <w:pPr>
        <w:spacing w:after="100"/>
        <w:ind w:left="576" w:hanging="576"/>
        <w:jc w:val="both"/>
      </w:pPr>
      <w:r>
        <w:rPr>
          <w:sz w:val="21"/>
        </w:rPr>
        <w:t>Crane, A. and Matten, D., 2016. Business Ethics: Managing Corporate Citizenship and Sustainability in the Age of Globalization. 4th edn. Oxford: Oxford University Press.</w:t>
      </w:r>
    </w:p>
    <w:p>
      <w:pPr>
        <w:spacing w:after="100"/>
        <w:ind w:left="576" w:hanging="576"/>
        <w:jc w:val="both"/>
      </w:pPr>
      <w:r>
        <w:rPr>
          <w:sz w:val="21"/>
        </w:rPr>
        <w:t>European Commission, 2024. Commission designates Apple as gatekeeper under the Digital Markets Act. Brussels: European Commission. Available at: https://ec.europa.eu/commission/presscorner/detail/en/ip_23_3763 [Accessed: 16 June 2026].</w:t>
      </w:r>
    </w:p>
    <w:p>
      <w:pPr>
        <w:spacing w:after="100"/>
        <w:ind w:left="576" w:hanging="576"/>
        <w:jc w:val="both"/>
      </w:pPr>
      <w:r>
        <w:rPr>
          <w:sz w:val="21"/>
        </w:rPr>
        <w:t>Hill, C.W.L. and Hult, G.T.M., 2022. International Business: Competing in the Global Marketplace. 13th edn. New York: McGraw-Hill Education.</w:t>
      </w:r>
    </w:p>
    <w:p>
      <w:pPr>
        <w:spacing w:after="100"/>
        <w:ind w:left="576" w:hanging="576"/>
        <w:jc w:val="both"/>
      </w:pPr>
      <w:r>
        <w:rPr>
          <w:sz w:val="21"/>
        </w:rPr>
        <w:t>Johnson, G., Whittington, R., Scholes, K., Angwin, D. and Regnér, P., 2017. Exploring Strategy: Text and Cases. 11th edn. Harlow: Pearson Education.</w:t>
      </w:r>
    </w:p>
    <w:p>
      <w:pPr>
        <w:spacing w:after="100"/>
        <w:ind w:left="576" w:hanging="576"/>
        <w:jc w:val="both"/>
      </w:pPr>
      <w:r>
        <w:rPr>
          <w:sz w:val="21"/>
        </w:rPr>
        <w:t>Peng, M. and Meyer, K., 2019. International Business. 3rd edn. Andover: Cengage EMEA.</w:t>
      </w:r>
    </w:p>
    <w:p>
      <w:pPr>
        <w:spacing w:after="100"/>
        <w:ind w:left="576" w:hanging="576"/>
        <w:jc w:val="both"/>
      </w:pPr>
      <w:r>
        <w:rPr>
          <w:sz w:val="21"/>
        </w:rPr>
        <w:t>US Department of Justice, 2024. Justice Department sues Apple for monopolizing smartphone markets. Washington, DC: US Department of Justice. Available at: https://www.justice.gov/opa/pr/justice-department-sues-apple-monopolizing-smartphone-markets [Accessed: 16 June 2026].</w:t>
      </w:r>
    </w:p>
    <w:p>
      <w:pPr>
        <w:spacing w:after="100"/>
        <w:ind w:left="576" w:hanging="576"/>
        <w:jc w:val="both"/>
      </w:pPr>
      <w:r>
        <w:rPr>
          <w:sz w:val="21"/>
        </w:rPr>
        <w:t>Verbeke, A., 2013. International Business Strategy: Rethinking the Foundations of Global Corporate Success. 2nd edn. Cambridge: Cambridge University Press.</w:t>
      </w:r>
    </w:p>
    <w:p>
      <w:pPr>
        <w:spacing w:after="100"/>
        <w:ind w:left="576" w:hanging="576"/>
        <w:jc w:val="both"/>
      </w:pPr>
      <w:r>
        <w:rPr>
          <w:sz w:val="21"/>
        </w:rPr>
        <w:t>Wright Forrester, J., 2018. Industrial Dynamics. Reprint edn. Eastford, CT: Martino Fine Books.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