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0"/>
        <w:jc w:val="left"/>
      </w:pPr>
      <w:r>
        <w:rPr>
          <w:rFonts w:ascii="Times New Roman" w:hAnsi="Times New Roman"/>
          <w:b w:val="0"/>
          <w:i/>
          <w:color w:val="555555"/>
          <w:sz w:val="20"/>
        </w:rPr>
        <w:t>Journal of Building Engineering</w:t>
      </w:r>
    </w:p>
    <w:p>
      <w:pPr>
        <w:spacing w:lineRule="auto" w:line="360" w:before="0" w:after="40"/>
        <w:jc w:val="left"/>
      </w:pPr>
      <w:r>
        <w:rPr>
          <w:rFonts w:ascii="Times New Roman" w:hAnsi="Times New Roman"/>
          <w:b w:val="0"/>
          <w:i/>
          <w:color w:val="555555"/>
          <w:sz w:val="17"/>
        </w:rPr>
        <w:t>Contents lists available at ScienceDirect  ·  journal homepage: www.elsevier.com/locate/jobe</w:t>
      </w:r>
    </w:p>
    <w:p>
      <w:pPr>
        <w:pBdr>
          <w:bottom w:val="single" w:sz="6" w:space="1" w:color="888888"/>
        </w:pBdr>
        <w:spacing w:after="200"/>
      </w:pPr>
    </w:p>
    <w:p>
      <w:pPr>
        <w:spacing w:lineRule="auto" w:line="300" w:before="0" w:after="200"/>
        <w:jc w:val="left"/>
      </w:pPr>
      <w:r>
        <w:rPr>
          <w:rFonts w:ascii="Times New Roman" w:hAnsi="Times New Roman"/>
          <w:b/>
          <w:i w:val="0"/>
          <w:sz w:val="32"/>
        </w:rPr>
        <w:t>Valorisation of invasive aquatic weed from Dal Lake into corn-starch bonded bio-composite panels for sustainable building insulation</w:t>
      </w:r>
    </w:p>
    <w:p>
      <w:pPr>
        <w:spacing w:after="40"/>
      </w:pPr>
      <w:r>
        <w:rPr>
          <w:rFonts w:ascii="Times New Roman" w:hAnsi="Times New Roman"/>
          <w:b w:val="0"/>
          <w:i w:val="0"/>
          <w:sz w:val="23"/>
        </w:rPr>
        <w:t>Suchetan Karloopia</w:t>
      </w:r>
      <w:r>
        <w:rPr>
          <w:rFonts w:ascii="Times New Roman" w:hAnsi="Times New Roman"/>
          <w:b w:val="0"/>
          <w:i w:val="0"/>
          <w:sz w:val="16"/>
        </w:rPr>
        <w:t>ᵃ</w:t>
      </w:r>
      <w:r>
        <w:rPr>
          <w:rFonts w:ascii="Times New Roman" w:hAnsi="Times New Roman"/>
          <w:b w:val="0"/>
          <w:i w:val="0"/>
          <w:sz w:val="23"/>
        </w:rPr>
        <w:t>, Miran Haider</w:t>
      </w:r>
      <w:r>
        <w:rPr>
          <w:rFonts w:ascii="Times New Roman" w:hAnsi="Times New Roman"/>
          <w:b w:val="0"/>
          <w:i w:val="0"/>
          <w:sz w:val="16"/>
        </w:rPr>
        <w:t>ᵃ</w:t>
      </w:r>
      <w:r>
        <w:rPr>
          <w:rFonts w:ascii="Times New Roman" w:hAnsi="Times New Roman"/>
          <w:b w:val="0"/>
          <w:i w:val="0"/>
          <w:sz w:val="23"/>
        </w:rPr>
        <w:t>, Akshita Sen</w:t>
      </w:r>
      <w:r>
        <w:rPr>
          <w:rFonts w:ascii="Times New Roman" w:hAnsi="Times New Roman"/>
          <w:b w:val="0"/>
          <w:i w:val="0"/>
          <w:sz w:val="16"/>
        </w:rPr>
        <w:t>ᵃ</w:t>
      </w:r>
      <w:r>
        <w:rPr>
          <w:rFonts w:ascii="Times New Roman" w:hAnsi="Times New Roman"/>
          <w:b w:val="0"/>
          <w:i w:val="0"/>
          <w:sz w:val="23"/>
        </w:rPr>
        <w:t>, Fasil Qayoom Mir</w:t>
      </w:r>
      <w:r>
        <w:rPr>
          <w:rFonts w:ascii="Times New Roman" w:hAnsi="Times New Roman"/>
          <w:b w:val="0"/>
          <w:i w:val="0"/>
          <w:sz w:val="16"/>
        </w:rPr>
        <w:t>ᵃ,</w:t>
      </w:r>
      <w:r>
        <w:rPr>
          <w:rFonts w:ascii="Times New Roman" w:hAnsi="Times New Roman"/>
          <w:b/>
          <w:i w:val="0"/>
          <w:sz w:val="20"/>
        </w:rPr>
        <w:t>*</w:t>
      </w:r>
    </w:p>
    <w:p>
      <w:pPr>
        <w:spacing w:after="40"/>
      </w:pPr>
      <w:r>
        <w:rPr>
          <w:rFonts w:ascii="Times New Roman" w:hAnsi="Times New Roman"/>
          <w:b w:val="0"/>
          <w:i w:val="0"/>
          <w:sz w:val="16"/>
        </w:rPr>
        <w:t>ᵃ</w:t>
      </w:r>
      <w:r>
        <w:rPr>
          <w:rFonts w:ascii="Times New Roman" w:hAnsi="Times New Roman"/>
          <w:b w:val="0"/>
          <w:i/>
          <w:sz w:val="20"/>
        </w:rPr>
        <w:t xml:space="preserve"> Department of Chemical Engineering, National Institute of Technology, Srinagar, Jammu &amp; Kashmir, 190006, India</w:t>
      </w:r>
    </w:p>
    <w:p>
      <w:pPr>
        <w:spacing w:after="200"/>
      </w:pPr>
      <w:r>
        <w:rPr>
          <w:rFonts w:ascii="Times New Roman" w:hAnsi="Times New Roman"/>
          <w:b w:val="0"/>
          <w:i/>
          <w:color w:val="555555"/>
          <w:sz w:val="18"/>
        </w:rPr>
        <w:t>* Corresponding author. E-mail address: mirfasil@nitsri.ac.in (F.Q. Mir).</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4706"/>
        <w:gridCol w:w="4706"/>
      </w:tblGrid>
      <w:tr>
        <w:tc>
          <w:tcPr>
            <w:tcW w:type="dxa" w:w="2736"/>
          </w:tcPr>
          <w:p>
            <w:pPr>
              <w:spacing w:after="120" w:line="276" w:lineRule="auto"/>
            </w:pPr>
            <w:r>
              <w:rPr>
                <w:rFonts w:ascii="Times New Roman" w:hAnsi="Times New Roman"/>
                <w:b/>
                <w:sz w:val="18"/>
              </w:rPr>
              <w:t>A R T I C L E   I N F O</w:t>
            </w:r>
          </w:p>
          <w:p>
            <w:pPr>
              <w:spacing w:line="276" w:lineRule="auto" w:before="120" w:after="0"/>
            </w:pPr>
            <w:r>
              <w:rPr>
                <w:rFonts w:ascii="Times New Roman" w:hAnsi="Times New Roman"/>
                <w:i/>
                <w:sz w:val="18"/>
              </w:rPr>
              <w:t>Keywords:</w:t>
            </w:r>
          </w:p>
          <w:p>
            <w:pPr>
              <w:spacing w:line="276" w:lineRule="auto" w:after="0"/>
            </w:pPr>
            <w:r>
              <w:rPr>
                <w:rFonts w:ascii="Times New Roman" w:hAnsi="Times New Roman"/>
                <w:sz w:val="18"/>
              </w:rPr>
              <w:t>Water hyacinth</w:t>
            </w:r>
          </w:p>
          <w:p>
            <w:pPr>
              <w:spacing w:line="276" w:lineRule="auto" w:after="0"/>
            </w:pPr>
            <w:r>
              <w:rPr>
                <w:rFonts w:ascii="Times New Roman" w:hAnsi="Times New Roman"/>
                <w:sz w:val="18"/>
              </w:rPr>
              <w:t>Bio-composite</w:t>
            </w:r>
          </w:p>
          <w:p>
            <w:pPr>
              <w:spacing w:line="276" w:lineRule="auto" w:after="0"/>
            </w:pPr>
            <w:r>
              <w:rPr>
                <w:rFonts w:ascii="Times New Roman" w:hAnsi="Times New Roman"/>
                <w:sz w:val="18"/>
              </w:rPr>
              <w:t>Corn-starch binder</w:t>
            </w:r>
          </w:p>
          <w:p>
            <w:pPr>
              <w:spacing w:line="276" w:lineRule="auto" w:after="0"/>
            </w:pPr>
            <w:r>
              <w:rPr>
                <w:rFonts w:ascii="Times New Roman" w:hAnsi="Times New Roman"/>
                <w:sz w:val="18"/>
              </w:rPr>
              <w:t>Thermal insulation</w:t>
            </w:r>
          </w:p>
          <w:p>
            <w:pPr>
              <w:spacing w:line="276" w:lineRule="auto" w:after="0"/>
            </w:pPr>
            <w:r>
              <w:rPr>
                <w:rFonts w:ascii="Times New Roman" w:hAnsi="Times New Roman"/>
                <w:sz w:val="18"/>
              </w:rPr>
              <w:t>Compressive strength</w:t>
            </w:r>
          </w:p>
          <w:p>
            <w:pPr>
              <w:spacing w:line="276" w:lineRule="auto" w:after="0"/>
            </w:pPr>
            <w:r>
              <w:rPr>
                <w:rFonts w:ascii="Times New Roman" w:hAnsi="Times New Roman"/>
                <w:sz w:val="18"/>
              </w:rPr>
              <w:t>Waste valorisation</w:t>
            </w:r>
          </w:p>
        </w:tc>
        <w:tc>
          <w:tcPr>
            <w:tcW w:type="dxa" w:w="6768"/>
          </w:tcPr>
          <w:p>
            <w:pPr>
              <w:spacing w:after="80"/>
            </w:pPr>
            <w:r>
              <w:rPr>
                <w:rFonts w:ascii="Times New Roman" w:hAnsi="Times New Roman"/>
                <w:b/>
                <w:sz w:val="18"/>
              </w:rPr>
              <w:t>A B S T R A C T</w:t>
            </w:r>
          </w:p>
          <w:p>
            <w:pPr>
              <w:spacing w:line="288" w:lineRule="auto" w:after="80"/>
              <w:jc w:val="both"/>
            </w:pPr>
            <w:r>
              <w:rPr>
                <w:rFonts w:ascii="Times New Roman" w:hAnsi="Times New Roman"/>
                <w:sz w:val="19"/>
              </w:rPr>
              <w:t>The building sector's rising energy demand and the environmental burden of petroleum-derived insulants such as expanded polystyrene and polyurethane foam have intensified the search for sustainable, bio-based alternatives. In parallel, the invasive aquatic weeds water hyacinth (Eichhornia crassipes) and water lily (Nymphaea spp.) infest Dal Lake, Srinagar — a Ramsar wetland of about 18 km² affected by eutrophication — generating a large, freely available waste-biomass stream. This study valorises this weed into bio-composite insulation panels. Four fully bio-based formulations were fabricated from oven-dried, sieve-classified biomass: a coarse binder-less panel (S1), a fine binder-less panel (S2), and two fine panels bound with gelatinised food-grade corn starch at biomass:starch ratios of 90:10 (S3) and 70:30 (S4); no synthetic polymers or crosslinkers were used. Panels were characterized for moisture content (ASTM D4442), bulk density (ASTM D1037), water absorption (ASTM D570), unconfined compressive strength and thermal conductivity (KD2 Pro TR-3 transient line-source probe, ASTM D5334), with three replicates per test. The fine binder-less panel (S2) and the 90:10 panel (S3) achieved insulation-grade thermal conductivities of 0.0577 and 0.0608 W m⁻¹ K⁻¹, respectively, both below the 0.065 W m⁻¹ K⁻¹ threshold of ASTM C168. The 90:10 panel recorded the highest unconfined compressive strength (186.0 kPa), a 97 % improvement over the binder-less fine panel, identifying 10 wt% corn starch as the optimal binder content. The 70:30 panel showed the lowest water absorption (280 %) but the lowest strength (26.8 kPa) and a three-fold higher conductivity (0.1846 W m⁻¹ K⁻¹), attributed to an excess plasticised starch matrix and a high moisture content (41.18 %). The 90:10 biomass:starch panel emerged as the best-balanced formulation, demonstrating the technical feasibility of converting an invasive aquatic weed into a viable, biodegradable building-insulation material.</w:t>
            </w:r>
          </w:p>
        </w:tc>
      </w:tr>
    </w:tbl>
    <w:p>
      <w:pPr>
        <w:spacing w:after="40"/>
      </w:pPr>
    </w:p>
    <w:p>
      <w:pPr>
        <w:keepNext/>
        <w:spacing w:line="360" w:lineRule="auto" w:before="240" w:after="120"/>
      </w:pPr>
      <w:r>
        <w:rPr>
          <w:rFonts w:ascii="Times New Roman" w:hAnsi="Times New Roman"/>
          <w:b/>
          <w:color w:val="000000"/>
          <w:sz w:val="26"/>
        </w:rPr>
        <w:t>1.  Introduction</w:t>
      </w:r>
    </w:p>
    <w:p>
      <w:pPr>
        <w:spacing w:lineRule="auto" w:line="360" w:before="0" w:after="160"/>
        <w:jc w:val="both"/>
      </w:pPr>
      <w:r>
        <w:rPr>
          <w:rFonts w:ascii="Times New Roman" w:hAnsi="Times New Roman"/>
          <w:b w:val="0"/>
          <w:i w:val="0"/>
          <w:sz w:val="22"/>
        </w:rPr>
        <w:t>Thermal insulation is among the most cost-effective strategies for reducing operational energy in buildings, which account for a substantial share of global energy use and greenhouse-gas emissions (Cosentino et al., 2023). The majority of commercial insulation products in service today — expanded polystyrene (EPS), extruded polystyrene (XPS), polyurethane (PU) foam, glass wool and mineral wool — are either petroleum-derived or energy-intensive to manufacture. These materials are non-biodegradable, accumulate in landfills at end of life, and, in the case of organic foams, are highly flammable and release toxic gases during combustion (Jaktorn and Jiajitsawat, 2021; Jeon et al., 2017). The emphasis on circular-economy principles and carbon-footprint reduction has therefore driven strong interest in bio-based insulation derived from renewable and waste lignocellulosic resources (Pawlowski et al., 2025).</w:t>
      </w:r>
    </w:p>
    <w:p>
      <w:pPr>
        <w:spacing w:lineRule="auto" w:line="360" w:before="0" w:after="160"/>
        <w:jc w:val="both"/>
      </w:pPr>
      <w:r>
        <w:rPr>
          <w:rFonts w:ascii="Times New Roman" w:hAnsi="Times New Roman"/>
          <w:b w:val="0"/>
          <w:i w:val="0"/>
          <w:sz w:val="22"/>
        </w:rPr>
        <w:t>Natural-fibre bio-composites are attractive because they are renewable, biodegradable, lightweight and possess low thermal conductivity owing to their porous cellular structure, and can frequently be produced at low cost from agricultural or aquatic waste. A broad range of lignocellulosic feedstocks — rice straw (Zhou et al., 2022), corn cob (Pinto et al., 2021), hemp and flax (Kymäläinen and Sjöberg, 2008), sugarcane bagasse (Oushabi et al., 2022) and pineapple-leaf fibre (Wang et al., 2023), among others — has been investigated for insulation. Among aquatic feedstocks, water hyacinth (Eichhornia crassipes) has attracted particular attention because of its abundance, rapid growth and high cellulose content (Salas-Ruiz et al., 2019).</w:t>
      </w:r>
    </w:p>
    <w:p>
      <w:pPr>
        <w:spacing w:lineRule="auto" w:line="360" w:before="0" w:after="160"/>
        <w:jc w:val="both"/>
      </w:pPr>
      <w:r>
        <w:rPr>
          <w:rFonts w:ascii="Times New Roman" w:hAnsi="Times New Roman"/>
          <w:b w:val="0"/>
          <w:i w:val="0"/>
          <w:sz w:val="22"/>
        </w:rPr>
        <w:t>The thermal performance of an insulant is quantified primarily by its thermal conductivity, k (W m⁻¹ K⁻¹); a lower value denotes a better insulator. Lightweight insulants owe their low conductivity to a large volume fraction of immobilised air (k ≈ 0.026 W m⁻¹ K⁻¹) trapped within a cellular or fibrous solid. Any factor that displaces this air — densification, void filling or, most importantly, moisture ingress — raises the effective conductivity. Water (k ≈ 0.6 W m⁻¹ K⁻¹) conducts heat roughly 23 times more effectively than air, which is why moisture management is a recurring theme in bio-based insulation (Jeon et al., 2017).</w:t>
      </w:r>
    </w:p>
    <w:p>
      <w:pPr>
        <w:keepNext/>
        <w:spacing w:line="360" w:lineRule="auto" w:before="280" w:after="120"/>
      </w:pPr>
      <w:r>
        <w:rPr>
          <w:rFonts w:ascii="Times New Roman" w:hAnsi="Times New Roman"/>
          <w:b/>
          <w:color w:val="000000"/>
          <w:sz w:val="24"/>
        </w:rPr>
        <w:t>1.1.  The Dal Lake problem: an invasive weed as a resource</w:t>
      </w:r>
    </w:p>
    <w:p>
      <w:pPr>
        <w:spacing w:lineRule="auto" w:line="360" w:before="0" w:after="160"/>
        <w:jc w:val="both"/>
      </w:pPr>
      <w:r>
        <w:rPr>
          <w:rFonts w:ascii="Times New Roman" w:hAnsi="Times New Roman"/>
          <w:b w:val="0"/>
          <w:i w:val="0"/>
          <w:sz w:val="22"/>
        </w:rPr>
        <w:t>Dal Lake in Srinagar, Jammu &amp; Kashmir, is an iconic Himalayan urban lake and a designated Ramsar wetland of approximately 18 km². Over recent decades it has suffered severe eutrophication driven by untreated sewage, catchment urbanisation and nutrient loading. A direct, highly visible consequence is the explosive proliferation of free-floating invasive weeds, principally water hyacinth and water lily (Nymphaea spp.), which form dense surface mats that deplete dissolved oxygen, block sunlight, destroy fish-breeding grounds and accelerate the conversion of open water to marshland. Mechanical de-weeding removes large quantities of this biomass each year, but the harvested material is generally treated as waste, dumped or left to decompose — releasing methane and returning nutrients to the lake. Converting this weed into a useful engineering product simultaneously addresses two problems: it provides an economic end-use for weed removal and supplies a renewable raw material for sustainable insulation.</w:t>
      </w:r>
    </w:p>
    <w:p>
      <w:pPr>
        <w:keepNext/>
        <w:spacing w:line="360" w:lineRule="auto" w:before="280" w:after="120"/>
      </w:pPr>
      <w:r>
        <w:rPr>
          <w:rFonts w:ascii="Times New Roman" w:hAnsi="Times New Roman"/>
          <w:b/>
          <w:color w:val="000000"/>
          <w:sz w:val="24"/>
        </w:rPr>
        <w:t>1.2.  Research gap and objectives</w:t>
      </w:r>
    </w:p>
    <w:p>
      <w:pPr>
        <w:spacing w:lineRule="auto" w:line="360" w:before="0" w:after="160"/>
        <w:jc w:val="both"/>
      </w:pPr>
      <w:r>
        <w:rPr>
          <w:rFonts w:ascii="Times New Roman" w:hAnsi="Times New Roman"/>
          <w:b w:val="0"/>
          <w:i w:val="0"/>
          <w:sz w:val="22"/>
        </w:rPr>
        <w:t>Reported water-hyacinth systems can reach insulation-grade conductivities, but most rely on synthetic matrices such as epoxy (Anjani et al., 2023) or polyester (Abral et al., 2014), on energy-intensive binders such as cement (Philip and Rakendu, 2022), or on binder-less boards that suffer very high water absorption and poor mechanical integrity (Salas-Ruiz et al., 2019). Studies that use natural binders are often directed at packaging foams rather than building panels (Chaireh et al., 2020), and few systematically optimise the biomass-to-binder ratio of a fully bio-based panel while reporting thermal, mechanical and moisture performance together. Moreover, the specific valorisation of Dal Lake aquatic weed for insulation has not been reported. The present work addresses this gap by fabricating fully bio-based panels from Dal Lake biomass bound with food-grade corn starch (no synthetic polymers or crosslinkers), systematically varying particle size and biomass:starch ratio, and characterising the resulting thermal, mechanical and moisture properties together to identify an optimal, insulation-grade formulation.</w:t>
      </w:r>
    </w:p>
    <w:p>
      <w:pPr>
        <w:keepNext/>
        <w:spacing w:line="360" w:lineRule="auto" w:before="240" w:after="120"/>
      </w:pPr>
      <w:r>
        <w:rPr>
          <w:rFonts w:ascii="Times New Roman" w:hAnsi="Times New Roman"/>
          <w:b/>
          <w:color w:val="000000"/>
          <w:sz w:val="26"/>
        </w:rPr>
        <w:t>2.  Materials and methods</w:t>
      </w:r>
    </w:p>
    <w:p>
      <w:pPr>
        <w:keepNext/>
        <w:spacing w:line="360" w:lineRule="auto" w:before="280" w:after="120"/>
      </w:pPr>
      <w:r>
        <w:rPr>
          <w:rFonts w:ascii="Times New Roman" w:hAnsi="Times New Roman"/>
          <w:b/>
          <w:color w:val="000000"/>
          <w:sz w:val="24"/>
        </w:rPr>
        <w:t>2.1.  Raw materials</w:t>
      </w:r>
    </w:p>
    <w:p>
      <w:pPr>
        <w:spacing w:lineRule="auto" w:line="360" w:before="0" w:after="160"/>
        <w:jc w:val="both"/>
      </w:pPr>
      <w:r>
        <w:rPr>
          <w:rFonts w:ascii="Times New Roman" w:hAnsi="Times New Roman"/>
          <w:b w:val="0"/>
          <w:i w:val="0"/>
          <w:sz w:val="22"/>
        </w:rPr>
        <w:t>The primary raw material was waste aquatic biomass comprising water hyacinth (Eichhornia crassipes) and water lily (Nymphaea spp.), collected manually from Dal Lake, Srinagar (approximately 34.08° N, 74.85° E) during October–November 2025. Petioles, stems and leaves were thoroughly washed to remove mud, debris and biological contaminants. The binder was commercial food-grade corn (maize) starch; tap/distilled water was used as the processing medium. No synthetic polymers, resins or chemical crosslinkers were employed at any stage, ensuring a fully bio-based and biodegradable composite. The petioles and stems possess a porous, fibrous, cellulose-rich internal structure that is advantageous both for thermal insulation and for structural reinforcement.</w:t>
      </w:r>
    </w:p>
    <w:p>
      <w:pPr>
        <w:keepNext/>
        <w:spacing w:line="360" w:lineRule="auto" w:before="280" w:after="120"/>
      </w:pPr>
      <w:r>
        <w:rPr>
          <w:rFonts w:ascii="Times New Roman" w:hAnsi="Times New Roman"/>
          <w:b/>
          <w:color w:val="000000"/>
          <w:sz w:val="24"/>
        </w:rPr>
        <w:t>2.2.  Biomass pre-treatment and size reduction</w:t>
      </w:r>
    </w:p>
    <w:p>
      <w:pPr>
        <w:spacing w:lineRule="auto" w:line="360" w:before="0" w:after="160"/>
        <w:jc w:val="both"/>
      </w:pPr>
      <w:r>
        <w:rPr>
          <w:rFonts w:ascii="Times New Roman" w:hAnsi="Times New Roman"/>
          <w:b w:val="0"/>
          <w:i w:val="0"/>
          <w:sz w:val="22"/>
        </w:rPr>
        <w:t>The washed biomass was sun-dried for 5–7 days and then oven-dried at 103 ± 2 °C for about 24 h to standardise the moisture content prior to grinding (consistent with ASTM D4442). The dried biomass was reduced in size with a laboratory mixer-grinder and classified using ASTM E11 standard wire-mesh sieves into a coarse fraction (&gt; 3 mm; finer than No. 7 mesh) and a fine fraction (1.0–1.5 mm; No. 12–No. 18 mesh). Particle size is a critical variable: the coarse fraction produces an open, weakly interlocked structure, whereas the fine fraction offers a larger specific surface for inter-particle contact and binding, yielding more cohesive panels (Fig. 1).</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706"/>
        <w:gridCol w:w="4706"/>
      </w:tblGrid>
      <w:tr>
        <w:tc>
          <w:tcPr>
            <w:tcW w:type="dxa" w:w="3600"/>
          </w:tcPr>
          <w:p>
            <w:pPr>
              <w:spacing w:after="40"/>
              <w:jc w:val="center"/>
            </w:pPr>
            <w:r>
              <w:drawing>
                <wp:inline xmlns:a="http://schemas.openxmlformats.org/drawingml/2006/main" xmlns:pic="http://schemas.openxmlformats.org/drawingml/2006/picture">
                  <wp:extent cx="2148840" cy="2865120"/>
                  <wp:docPr id="1" name="Picture 1"/>
                  <wp:cNvGraphicFramePr>
                    <a:graphicFrameLocks noChangeAspect="1"/>
                  </wp:cNvGraphicFramePr>
                  <a:graphic>
                    <a:graphicData uri="http://schemas.openxmlformats.org/drawingml/2006/picture">
                      <pic:pic>
                        <pic:nvPicPr>
                          <pic:cNvPr id="0" name="fine_biomass.jpg"/>
                          <pic:cNvPicPr/>
                        </pic:nvPicPr>
                        <pic:blipFill>
                          <a:blip r:embed="rId9"/>
                          <a:stretch>
                            <a:fillRect/>
                          </a:stretch>
                        </pic:blipFill>
                        <pic:spPr>
                          <a:xfrm>
                            <a:off x="0" y="0"/>
                            <a:ext cx="2148840" cy="2865120"/>
                          </a:xfrm>
                          <a:prstGeom prst="rect"/>
                        </pic:spPr>
                      </pic:pic>
                    </a:graphicData>
                  </a:graphic>
                </wp:inline>
              </w:drawing>
            </w:r>
          </w:p>
          <w:p>
            <w:pPr>
              <w:spacing w:after="40"/>
              <w:jc w:val="center"/>
            </w:pPr>
            <w:r>
              <w:rPr>
                <w:rFonts w:ascii="Times New Roman" w:hAnsi="Times New Roman"/>
                <w:b w:val="0"/>
                <w:i/>
                <w:color w:val="555555"/>
                <w:sz w:val="17"/>
              </w:rPr>
              <w:t>(a) Fine fraction (1.0–1.5 mm)</w:t>
            </w:r>
          </w:p>
        </w:tc>
        <w:tc>
          <w:tcPr>
            <w:tcW w:type="dxa" w:w="3600"/>
          </w:tcPr>
          <w:p>
            <w:pPr>
              <w:spacing w:after="40"/>
              <w:jc w:val="center"/>
            </w:pPr>
            <w:r>
              <w:drawing>
                <wp:inline xmlns:a="http://schemas.openxmlformats.org/drawingml/2006/main" xmlns:pic="http://schemas.openxmlformats.org/drawingml/2006/picture">
                  <wp:extent cx="2148840" cy="2865120"/>
                  <wp:docPr id="2" name="Picture 2"/>
                  <wp:cNvGraphicFramePr>
                    <a:graphicFrameLocks noChangeAspect="1"/>
                  </wp:cNvGraphicFramePr>
                  <a:graphic>
                    <a:graphicData uri="http://schemas.openxmlformats.org/drawingml/2006/picture">
                      <pic:pic>
                        <pic:nvPicPr>
                          <pic:cNvPr id="0" name="coarse_biomass.jpg"/>
                          <pic:cNvPicPr/>
                        </pic:nvPicPr>
                        <pic:blipFill>
                          <a:blip r:embed="rId10"/>
                          <a:stretch>
                            <a:fillRect/>
                          </a:stretch>
                        </pic:blipFill>
                        <pic:spPr>
                          <a:xfrm>
                            <a:off x="0" y="0"/>
                            <a:ext cx="2148840" cy="2865120"/>
                          </a:xfrm>
                          <a:prstGeom prst="rect"/>
                        </pic:spPr>
                      </pic:pic>
                    </a:graphicData>
                  </a:graphic>
                </wp:inline>
              </w:drawing>
            </w:r>
          </w:p>
          <w:p>
            <w:pPr>
              <w:spacing w:after="40"/>
              <w:jc w:val="center"/>
            </w:pPr>
            <w:r>
              <w:rPr>
                <w:rFonts w:ascii="Times New Roman" w:hAnsi="Times New Roman"/>
                <w:b w:val="0"/>
                <w:i/>
                <w:color w:val="555555"/>
                <w:sz w:val="17"/>
              </w:rPr>
              <w:t>(b) Coarse fraction (&gt; 3 mm)</w:t>
            </w:r>
          </w:p>
        </w:tc>
      </w:tr>
    </w:tbl>
    <w:p>
      <w:pPr>
        <w:spacing w:line="240" w:lineRule="auto" w:after="280"/>
        <w:jc w:val="center"/>
      </w:pPr>
      <w:r>
        <w:rPr>
          <w:rFonts w:ascii="Times New Roman" w:hAnsi="Times New Roman"/>
          <w:b/>
          <w:sz w:val="19"/>
        </w:rPr>
        <w:t xml:space="preserve">Fig. 1. </w:t>
      </w:r>
      <w:r>
        <w:rPr>
          <w:rFonts w:ascii="Times New Roman" w:hAnsi="Times New Roman"/>
          <w:sz w:val="19"/>
        </w:rPr>
        <w:t>Ground and sieve-classified aquatic biomass: (a) fine fraction and (b) coarse fraction.</w:t>
      </w:r>
    </w:p>
    <w:p>
      <w:pPr>
        <w:keepNext/>
        <w:spacing w:line="360" w:lineRule="auto" w:before="280" w:after="120"/>
      </w:pPr>
      <w:r>
        <w:rPr>
          <w:rFonts w:ascii="Times New Roman" w:hAnsi="Times New Roman"/>
          <w:b/>
          <w:color w:val="000000"/>
          <w:sz w:val="24"/>
        </w:rPr>
        <w:t>2.3.  Binder preparation and composite fabrication</w:t>
      </w:r>
    </w:p>
    <w:p>
      <w:pPr>
        <w:spacing w:lineRule="auto" w:line="360" w:before="0" w:after="160"/>
        <w:jc w:val="both"/>
      </w:pPr>
      <w:r>
        <w:rPr>
          <w:rFonts w:ascii="Times New Roman" w:hAnsi="Times New Roman"/>
          <w:b w:val="0"/>
          <w:i w:val="0"/>
          <w:sz w:val="22"/>
        </w:rPr>
        <w:t>The corn-starch binder was prepared by dispersing starch in water and heating on a hot plate with magnetic stirring to 80–90 °C until a translucent, viscous gel formed, indicating complete gelatinisation. On cooling and drying the dispersed starch chains re-associate to form a continuous film that bridges and bonds the biomass particles, acting as a natural adhesive matrix. The classified biomass was mixed with the appropriate binder/water and packed into moulds: flat panels in 50 × 50 mm steel moulds and cylindrical specimens (30 mm diameter, 25 mm height) in aluminium moulds. The filled moulds were cold-pressed by hand to consolidate the mixture, demoulded, and oven-dried at 103 ± 2 °C to constant mass. Four formulations were produced (Table 1; Fig. 2), and matching cylindrical specimens (30 mm diameter, 25 mm height) were cast from each fine-particle formulation for unconfined compression testing (Fig. 3).</w:t>
      </w:r>
    </w:p>
    <w:p>
      <w:pPr>
        <w:spacing w:line="240" w:lineRule="auto" w:before="200" w:after="60"/>
      </w:pPr>
      <w:r>
        <w:rPr>
          <w:rFonts w:ascii="Times New Roman" w:hAnsi="Times New Roman"/>
          <w:b/>
          <w:sz w:val="19"/>
        </w:rPr>
        <w:t>Table 1</w:t>
      </w:r>
    </w:p>
    <w:p>
      <w:pPr>
        <w:spacing w:line="240" w:lineRule="auto" w:after="80"/>
      </w:pPr>
      <w:r>
        <w:rPr>
          <w:rFonts w:ascii="Times New Roman" w:hAnsi="Times New Roman"/>
          <w:i/>
          <w:sz w:val="19"/>
        </w:rPr>
        <w:t>Bio-composite sample fabrication details.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008"/>
            <w:shd w:val="clear" w:color="auto" w:fill="D9D9D9"/>
            <w:vAlign w:val="center"/>
          </w:tcPr>
          <w:p>
            <w:pPr>
              <w:spacing w:line="240" w:lineRule="auto" w:after="40" w:before="40"/>
              <w:jc w:val="center"/>
            </w:pPr>
            <w:r>
              <w:rPr>
                <w:rFonts w:ascii="Times New Roman" w:hAnsi="Times New Roman"/>
                <w:b/>
                <w:sz w:val="19"/>
              </w:rPr>
              <w:t>Sample</w:t>
            </w:r>
          </w:p>
        </w:tc>
        <w:tc>
          <w:tcPr>
            <w:tcW w:type="dxa" w:w="1728"/>
            <w:shd w:val="clear" w:color="auto" w:fill="D9D9D9"/>
            <w:vAlign w:val="center"/>
          </w:tcPr>
          <w:p>
            <w:pPr>
              <w:spacing w:line="240" w:lineRule="auto" w:after="40" w:before="40"/>
              <w:jc w:val="center"/>
            </w:pPr>
            <w:r>
              <w:rPr>
                <w:rFonts w:ascii="Times New Roman" w:hAnsi="Times New Roman"/>
                <w:b/>
                <w:sz w:val="19"/>
              </w:rPr>
              <w:t>Particle size</w:t>
            </w:r>
          </w:p>
        </w:tc>
        <w:tc>
          <w:tcPr>
            <w:tcW w:type="dxa" w:w="2736"/>
            <w:shd w:val="clear" w:color="auto" w:fill="D9D9D9"/>
            <w:vAlign w:val="center"/>
          </w:tcPr>
          <w:p>
            <w:pPr>
              <w:spacing w:line="240" w:lineRule="auto" w:after="40" w:before="40"/>
              <w:jc w:val="center"/>
            </w:pPr>
            <w:r>
              <w:rPr>
                <w:rFonts w:ascii="Times New Roman" w:hAnsi="Times New Roman"/>
                <w:b/>
                <w:sz w:val="19"/>
              </w:rPr>
              <w:t>Composition / binder</w:t>
            </w:r>
          </w:p>
        </w:tc>
        <w:tc>
          <w:tcPr>
            <w:tcW w:type="dxa" w:w="3456"/>
            <w:shd w:val="clear" w:color="auto" w:fill="D9D9D9"/>
            <w:vAlign w:val="center"/>
          </w:tcPr>
          <w:p>
            <w:pPr>
              <w:spacing w:line="240" w:lineRule="auto" w:after="40" w:before="40"/>
              <w:jc w:val="center"/>
            </w:pPr>
            <w:r>
              <w:rPr>
                <w:rFonts w:ascii="Times New Roman" w:hAnsi="Times New Roman"/>
                <w:b/>
                <w:sz w:val="19"/>
              </w:rPr>
              <w:t>Observation</w:t>
            </w:r>
          </w:p>
        </w:tc>
      </w:tr>
      <w:tr>
        <w:tc>
          <w:tcPr>
            <w:tcW w:type="dxa" w:w="1008"/>
            <w:vAlign w:val="center"/>
          </w:tcPr>
          <w:p>
            <w:pPr>
              <w:spacing w:line="240" w:lineRule="auto" w:after="40" w:before="40"/>
              <w:jc w:val="left"/>
            </w:pPr>
            <w:r>
              <w:rPr>
                <w:rFonts w:ascii="Times New Roman" w:hAnsi="Times New Roman"/>
                <w:sz w:val="19"/>
              </w:rPr>
              <w:t>S1</w:t>
            </w:r>
          </w:p>
        </w:tc>
        <w:tc>
          <w:tcPr>
            <w:tcW w:type="dxa" w:w="1728"/>
            <w:vAlign w:val="center"/>
          </w:tcPr>
          <w:p>
            <w:pPr>
              <w:spacing w:line="240" w:lineRule="auto" w:after="40" w:before="40"/>
              <w:jc w:val="center"/>
            </w:pPr>
            <w:r>
              <w:rPr>
                <w:rFonts w:ascii="Times New Roman" w:hAnsi="Times New Roman"/>
                <w:sz w:val="19"/>
              </w:rPr>
              <w:t>Coarse &gt; 3 mm</w:t>
            </w:r>
          </w:p>
        </w:tc>
        <w:tc>
          <w:tcPr>
            <w:tcW w:type="dxa" w:w="2736"/>
            <w:vAlign w:val="center"/>
          </w:tcPr>
          <w:p>
            <w:pPr>
              <w:spacing w:line="240" w:lineRule="auto" w:after="40" w:before="40"/>
              <w:jc w:val="center"/>
            </w:pPr>
            <w:r>
              <w:rPr>
                <w:rFonts w:ascii="Times New Roman" w:hAnsi="Times New Roman"/>
                <w:sz w:val="19"/>
              </w:rPr>
              <w:t>Biomass only + 15 % water</w:t>
            </w:r>
          </w:p>
        </w:tc>
        <w:tc>
          <w:tcPr>
            <w:tcW w:type="dxa" w:w="3456"/>
            <w:vAlign w:val="center"/>
          </w:tcPr>
          <w:p>
            <w:pPr>
              <w:spacing w:line="240" w:lineRule="auto" w:after="40" w:before="40"/>
              <w:jc w:val="center"/>
            </w:pPr>
            <w:r>
              <w:rPr>
                <w:rFonts w:ascii="Times New Roman" w:hAnsi="Times New Roman"/>
                <w:sz w:val="19"/>
              </w:rPr>
              <w:t>Poor stability; fractured on demoulding</w:t>
            </w:r>
          </w:p>
        </w:tc>
      </w:tr>
      <w:tr>
        <w:tc>
          <w:tcPr>
            <w:tcW w:type="dxa" w:w="1008"/>
            <w:vAlign w:val="center"/>
          </w:tcPr>
          <w:p>
            <w:pPr>
              <w:spacing w:line="240" w:lineRule="auto" w:after="40" w:before="40"/>
              <w:jc w:val="left"/>
            </w:pPr>
            <w:r>
              <w:rPr>
                <w:rFonts w:ascii="Times New Roman" w:hAnsi="Times New Roman"/>
                <w:sz w:val="19"/>
              </w:rPr>
              <w:t>S2</w:t>
            </w:r>
          </w:p>
        </w:tc>
        <w:tc>
          <w:tcPr>
            <w:tcW w:type="dxa" w:w="1728"/>
            <w:vAlign w:val="center"/>
          </w:tcPr>
          <w:p>
            <w:pPr>
              <w:spacing w:line="240" w:lineRule="auto" w:after="40" w:before="40"/>
              <w:jc w:val="center"/>
            </w:pPr>
            <w:r>
              <w:rPr>
                <w:rFonts w:ascii="Times New Roman" w:hAnsi="Times New Roman"/>
                <w:sz w:val="19"/>
              </w:rPr>
              <w:t>Fine 1.0–1.5 mm</w:t>
            </w:r>
          </w:p>
        </w:tc>
        <w:tc>
          <w:tcPr>
            <w:tcW w:type="dxa" w:w="2736"/>
            <w:vAlign w:val="center"/>
          </w:tcPr>
          <w:p>
            <w:pPr>
              <w:spacing w:line="240" w:lineRule="auto" w:after="40" w:before="40"/>
              <w:jc w:val="center"/>
            </w:pPr>
            <w:r>
              <w:rPr>
                <w:rFonts w:ascii="Times New Roman" w:hAnsi="Times New Roman"/>
                <w:sz w:val="19"/>
              </w:rPr>
              <w:t>Biomass only + 15 % water</w:t>
            </w:r>
          </w:p>
        </w:tc>
        <w:tc>
          <w:tcPr>
            <w:tcW w:type="dxa" w:w="3456"/>
            <w:vAlign w:val="center"/>
          </w:tcPr>
          <w:p>
            <w:pPr>
              <w:spacing w:line="240" w:lineRule="auto" w:after="40" w:before="40"/>
              <w:jc w:val="center"/>
            </w:pPr>
            <w:r>
              <w:rPr>
                <w:rFonts w:ascii="Times New Roman" w:hAnsi="Times New Roman"/>
                <w:sz w:val="19"/>
              </w:rPr>
              <w:t>Good cohesion; intact panel</w:t>
            </w:r>
          </w:p>
        </w:tc>
      </w:tr>
      <w:tr>
        <w:tc>
          <w:tcPr>
            <w:tcW w:type="dxa" w:w="1008"/>
            <w:vAlign w:val="center"/>
          </w:tcPr>
          <w:p>
            <w:pPr>
              <w:spacing w:line="240" w:lineRule="auto" w:after="40" w:before="40"/>
              <w:jc w:val="left"/>
            </w:pPr>
            <w:r>
              <w:rPr>
                <w:rFonts w:ascii="Times New Roman" w:hAnsi="Times New Roman"/>
                <w:sz w:val="19"/>
              </w:rPr>
              <w:t>S3</w:t>
            </w:r>
          </w:p>
        </w:tc>
        <w:tc>
          <w:tcPr>
            <w:tcW w:type="dxa" w:w="1728"/>
            <w:vAlign w:val="center"/>
          </w:tcPr>
          <w:p>
            <w:pPr>
              <w:spacing w:line="240" w:lineRule="auto" w:after="40" w:before="40"/>
              <w:jc w:val="center"/>
            </w:pPr>
            <w:r>
              <w:rPr>
                <w:rFonts w:ascii="Times New Roman" w:hAnsi="Times New Roman"/>
                <w:sz w:val="19"/>
              </w:rPr>
              <w:t>Fine 1.0–1.5 mm</w:t>
            </w:r>
          </w:p>
        </w:tc>
        <w:tc>
          <w:tcPr>
            <w:tcW w:type="dxa" w:w="2736"/>
            <w:vAlign w:val="center"/>
          </w:tcPr>
          <w:p>
            <w:pPr>
              <w:spacing w:line="240" w:lineRule="auto" w:after="40" w:before="40"/>
              <w:jc w:val="center"/>
            </w:pPr>
            <w:r>
              <w:rPr>
                <w:rFonts w:ascii="Times New Roman" w:hAnsi="Times New Roman"/>
                <w:sz w:val="19"/>
              </w:rPr>
              <w:t>Biomass:starch = 90:10</w:t>
            </w:r>
          </w:p>
        </w:tc>
        <w:tc>
          <w:tcPr>
            <w:tcW w:type="dxa" w:w="3456"/>
            <w:vAlign w:val="center"/>
          </w:tcPr>
          <w:p>
            <w:pPr>
              <w:spacing w:line="240" w:lineRule="auto" w:after="40" w:before="40"/>
              <w:jc w:val="center"/>
            </w:pPr>
            <w:r>
              <w:rPr>
                <w:rFonts w:ascii="Times New Roman" w:hAnsi="Times New Roman"/>
                <w:sz w:val="19"/>
              </w:rPr>
              <w:t>Improved binding and surface finish</w:t>
            </w:r>
          </w:p>
        </w:tc>
      </w:tr>
      <w:tr>
        <w:tc>
          <w:tcPr>
            <w:tcW w:type="dxa" w:w="1008"/>
            <w:vAlign w:val="center"/>
          </w:tcPr>
          <w:p>
            <w:pPr>
              <w:spacing w:line="240" w:lineRule="auto" w:after="40" w:before="40"/>
              <w:jc w:val="left"/>
            </w:pPr>
            <w:r>
              <w:rPr>
                <w:rFonts w:ascii="Times New Roman" w:hAnsi="Times New Roman"/>
                <w:sz w:val="19"/>
              </w:rPr>
              <w:t>S4</w:t>
            </w:r>
          </w:p>
        </w:tc>
        <w:tc>
          <w:tcPr>
            <w:tcW w:type="dxa" w:w="1728"/>
            <w:vAlign w:val="center"/>
          </w:tcPr>
          <w:p>
            <w:pPr>
              <w:spacing w:line="240" w:lineRule="auto" w:after="40" w:before="40"/>
              <w:jc w:val="center"/>
            </w:pPr>
            <w:r>
              <w:rPr>
                <w:rFonts w:ascii="Times New Roman" w:hAnsi="Times New Roman"/>
                <w:sz w:val="19"/>
              </w:rPr>
              <w:t>Fine 1.0–1.5 mm</w:t>
            </w:r>
          </w:p>
        </w:tc>
        <w:tc>
          <w:tcPr>
            <w:tcW w:type="dxa" w:w="2736"/>
            <w:vAlign w:val="center"/>
          </w:tcPr>
          <w:p>
            <w:pPr>
              <w:spacing w:line="240" w:lineRule="auto" w:after="40" w:before="40"/>
              <w:jc w:val="center"/>
            </w:pPr>
            <w:r>
              <w:rPr>
                <w:rFonts w:ascii="Times New Roman" w:hAnsi="Times New Roman"/>
                <w:sz w:val="19"/>
              </w:rPr>
              <w:t>Biomass:starch = 70:30</w:t>
            </w:r>
          </w:p>
        </w:tc>
        <w:tc>
          <w:tcPr>
            <w:tcW w:type="dxa" w:w="3456"/>
            <w:vAlign w:val="center"/>
          </w:tcPr>
          <w:p>
            <w:pPr>
              <w:spacing w:line="240" w:lineRule="auto" w:after="40" w:before="40"/>
              <w:jc w:val="center"/>
            </w:pPr>
            <w:r>
              <w:rPr>
                <w:rFonts w:ascii="Times New Roman" w:hAnsi="Times New Roman"/>
                <w:sz w:val="19"/>
              </w:rPr>
              <w:t>Compact, denser panel; highest binder fraction</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353"/>
        <w:gridCol w:w="2353"/>
        <w:gridCol w:w="2353"/>
        <w:gridCol w:w="2353"/>
      </w:tblGrid>
      <w:tr>
        <w:tc>
          <w:tcPr>
            <w:tcW w:type="dxa" w:w="2160"/>
          </w:tcPr>
          <w:p>
            <w:pPr>
              <w:spacing w:after="40"/>
              <w:jc w:val="center"/>
            </w:pPr>
            <w:r>
              <w:drawing>
                <wp:inline xmlns:a="http://schemas.openxmlformats.org/drawingml/2006/main" xmlns:pic="http://schemas.openxmlformats.org/drawingml/2006/picture">
                  <wp:extent cx="1234440" cy="1645920"/>
                  <wp:docPr id="3" name="Picture 3"/>
                  <wp:cNvGraphicFramePr>
                    <a:graphicFrameLocks noChangeAspect="1"/>
                  </wp:cNvGraphicFramePr>
                  <a:graphic>
                    <a:graphicData uri="http://schemas.openxmlformats.org/drawingml/2006/picture">
                      <pic:pic>
                        <pic:nvPicPr>
                          <pic:cNvPr id="0" name="coarse_sample.jpg"/>
                          <pic:cNvPicPr/>
                        </pic:nvPicPr>
                        <pic:blipFill>
                          <a:blip r:embed="rId11"/>
                          <a:stretch>
                            <a:fillRect/>
                          </a:stretch>
                        </pic:blipFill>
                        <pic:spPr>
                          <a:xfrm>
                            <a:off x="0" y="0"/>
                            <a:ext cx="1234440" cy="1645920"/>
                          </a:xfrm>
                          <a:prstGeom prst="rect"/>
                        </pic:spPr>
                      </pic:pic>
                    </a:graphicData>
                  </a:graphic>
                </wp:inline>
              </w:drawing>
            </w:r>
          </w:p>
          <w:p>
            <w:pPr>
              <w:spacing w:after="40"/>
              <w:jc w:val="center"/>
            </w:pPr>
            <w:r>
              <w:rPr>
                <w:rFonts w:ascii="Times New Roman" w:hAnsi="Times New Roman"/>
                <w:b w:val="0"/>
                <w:i/>
                <w:color w:val="555555"/>
                <w:sz w:val="17"/>
              </w:rPr>
              <w:t>(a) S1</w:t>
            </w:r>
          </w:p>
        </w:tc>
        <w:tc>
          <w:tcPr>
            <w:tcW w:type="dxa" w:w="2160"/>
          </w:tcPr>
          <w:p>
            <w:pPr>
              <w:spacing w:after="40"/>
              <w:jc w:val="center"/>
            </w:pPr>
            <w:r>
              <w:drawing>
                <wp:inline xmlns:a="http://schemas.openxmlformats.org/drawingml/2006/main" xmlns:pic="http://schemas.openxmlformats.org/drawingml/2006/picture">
                  <wp:extent cx="1234440" cy="1645920"/>
                  <wp:docPr id="4" name="Picture 4"/>
                  <wp:cNvGraphicFramePr>
                    <a:graphicFrameLocks noChangeAspect="1"/>
                  </wp:cNvGraphicFramePr>
                  <a:graphic>
                    <a:graphicData uri="http://schemas.openxmlformats.org/drawingml/2006/picture">
                      <pic:pic>
                        <pic:nvPicPr>
                          <pic:cNvPr id="0" name="sample1_nobinder.jpg"/>
                          <pic:cNvPicPr/>
                        </pic:nvPicPr>
                        <pic:blipFill>
                          <a:blip r:embed="rId12"/>
                          <a:stretch>
                            <a:fillRect/>
                          </a:stretch>
                        </pic:blipFill>
                        <pic:spPr>
                          <a:xfrm>
                            <a:off x="0" y="0"/>
                            <a:ext cx="1234440" cy="1645920"/>
                          </a:xfrm>
                          <a:prstGeom prst="rect"/>
                        </pic:spPr>
                      </pic:pic>
                    </a:graphicData>
                  </a:graphic>
                </wp:inline>
              </w:drawing>
            </w:r>
          </w:p>
          <w:p>
            <w:pPr>
              <w:spacing w:after="40"/>
              <w:jc w:val="center"/>
            </w:pPr>
            <w:r>
              <w:rPr>
                <w:rFonts w:ascii="Times New Roman" w:hAnsi="Times New Roman"/>
                <w:b w:val="0"/>
                <w:i/>
                <w:color w:val="555555"/>
                <w:sz w:val="17"/>
              </w:rPr>
              <w:t>(b) S2</w:t>
            </w:r>
          </w:p>
        </w:tc>
        <w:tc>
          <w:tcPr>
            <w:tcW w:type="dxa" w:w="2160"/>
          </w:tcPr>
          <w:p>
            <w:pPr>
              <w:spacing w:after="40"/>
              <w:jc w:val="center"/>
            </w:pPr>
            <w:r>
              <w:drawing>
                <wp:inline xmlns:a="http://schemas.openxmlformats.org/drawingml/2006/main" xmlns:pic="http://schemas.openxmlformats.org/drawingml/2006/picture">
                  <wp:extent cx="1234440" cy="1645920"/>
                  <wp:docPr id="5" name="Picture 5"/>
                  <wp:cNvGraphicFramePr>
                    <a:graphicFrameLocks noChangeAspect="1"/>
                  </wp:cNvGraphicFramePr>
                  <a:graphic>
                    <a:graphicData uri="http://schemas.openxmlformats.org/drawingml/2006/picture">
                      <pic:pic>
                        <pic:nvPicPr>
                          <pic:cNvPr id="0" name="sample2_9010.jpg"/>
                          <pic:cNvPicPr/>
                        </pic:nvPicPr>
                        <pic:blipFill>
                          <a:blip r:embed="rId13"/>
                          <a:stretch>
                            <a:fillRect/>
                          </a:stretch>
                        </pic:blipFill>
                        <pic:spPr>
                          <a:xfrm>
                            <a:off x="0" y="0"/>
                            <a:ext cx="1234440" cy="1645920"/>
                          </a:xfrm>
                          <a:prstGeom prst="rect"/>
                        </pic:spPr>
                      </pic:pic>
                    </a:graphicData>
                  </a:graphic>
                </wp:inline>
              </w:drawing>
            </w:r>
          </w:p>
          <w:p>
            <w:pPr>
              <w:spacing w:after="40"/>
              <w:jc w:val="center"/>
            </w:pPr>
            <w:r>
              <w:rPr>
                <w:rFonts w:ascii="Times New Roman" w:hAnsi="Times New Roman"/>
                <w:b w:val="0"/>
                <w:i/>
                <w:color w:val="555555"/>
                <w:sz w:val="17"/>
              </w:rPr>
              <w:t>(c) S3</w:t>
            </w:r>
          </w:p>
        </w:tc>
        <w:tc>
          <w:tcPr>
            <w:tcW w:type="dxa" w:w="2160"/>
          </w:tcPr>
          <w:p>
            <w:pPr>
              <w:spacing w:after="40"/>
              <w:jc w:val="center"/>
            </w:pPr>
            <w:r>
              <w:drawing>
                <wp:inline xmlns:a="http://schemas.openxmlformats.org/drawingml/2006/main" xmlns:pic="http://schemas.openxmlformats.org/drawingml/2006/picture">
                  <wp:extent cx="1234440" cy="1645920"/>
                  <wp:docPr id="6" name="Picture 6"/>
                  <wp:cNvGraphicFramePr>
                    <a:graphicFrameLocks noChangeAspect="1"/>
                  </wp:cNvGraphicFramePr>
                  <a:graphic>
                    <a:graphicData uri="http://schemas.openxmlformats.org/drawingml/2006/picture">
                      <pic:pic>
                        <pic:nvPicPr>
                          <pic:cNvPr id="0" name="sample3_7030.jpg"/>
                          <pic:cNvPicPr/>
                        </pic:nvPicPr>
                        <pic:blipFill>
                          <a:blip r:embed="rId14"/>
                          <a:stretch>
                            <a:fillRect/>
                          </a:stretch>
                        </pic:blipFill>
                        <pic:spPr>
                          <a:xfrm>
                            <a:off x="0" y="0"/>
                            <a:ext cx="1234440" cy="1645920"/>
                          </a:xfrm>
                          <a:prstGeom prst="rect"/>
                        </pic:spPr>
                      </pic:pic>
                    </a:graphicData>
                  </a:graphic>
                </wp:inline>
              </w:drawing>
            </w:r>
          </w:p>
          <w:p>
            <w:pPr>
              <w:spacing w:after="40"/>
              <w:jc w:val="center"/>
            </w:pPr>
            <w:r>
              <w:rPr>
                <w:rFonts w:ascii="Times New Roman" w:hAnsi="Times New Roman"/>
                <w:b w:val="0"/>
                <w:i/>
                <w:color w:val="555555"/>
                <w:sz w:val="17"/>
              </w:rPr>
              <w:t>(d) S4</w:t>
            </w:r>
          </w:p>
        </w:tc>
      </w:tr>
    </w:tbl>
    <w:p>
      <w:pPr>
        <w:spacing w:line="240" w:lineRule="auto" w:after="280"/>
        <w:jc w:val="center"/>
      </w:pPr>
      <w:r>
        <w:rPr>
          <w:rFonts w:ascii="Times New Roman" w:hAnsi="Times New Roman"/>
          <w:b/>
          <w:sz w:val="19"/>
        </w:rPr>
        <w:t xml:space="preserve">Fig. 2. </w:t>
      </w:r>
      <w:r>
        <w:rPr>
          <w:rFonts w:ascii="Times New Roman" w:hAnsi="Times New Roman"/>
          <w:sz w:val="19"/>
        </w:rPr>
        <w:t>Fabricated bio-composite panels: (a) S1 (coarse, no binder), (b) S2 (fine, no binder), (c) S3 (90:10) and (d) S4 (70:30).</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3137"/>
        <w:gridCol w:w="3137"/>
        <w:gridCol w:w="3137"/>
      </w:tblGrid>
      <w:tr>
        <w:tc>
          <w:tcPr>
            <w:tcW w:type="dxa" w:w="2592"/>
          </w:tcPr>
          <w:p>
            <w:pPr>
              <w:spacing w:after="40"/>
              <w:jc w:val="center"/>
            </w:pPr>
            <w:r>
              <w:drawing>
                <wp:inline xmlns:a="http://schemas.openxmlformats.org/drawingml/2006/main" xmlns:pic="http://schemas.openxmlformats.org/drawingml/2006/picture">
                  <wp:extent cx="1508760" cy="1131570"/>
                  <wp:docPr id="7" name="Picture 7"/>
                  <wp:cNvGraphicFramePr>
                    <a:graphicFrameLocks noChangeAspect="1"/>
                  </wp:cNvGraphicFramePr>
                  <a:graphic>
                    <a:graphicData uri="http://schemas.openxmlformats.org/drawingml/2006/picture">
                      <pic:pic>
                        <pic:nvPicPr>
                          <pic:cNvPr id="0" name="cyl1_nobinder.jpg"/>
                          <pic:cNvPicPr/>
                        </pic:nvPicPr>
                        <pic:blipFill>
                          <a:blip r:embed="rId15"/>
                          <a:stretch>
                            <a:fillRect/>
                          </a:stretch>
                        </pic:blipFill>
                        <pic:spPr>
                          <a:xfrm>
                            <a:off x="0" y="0"/>
                            <a:ext cx="1508760" cy="1131570"/>
                          </a:xfrm>
                          <a:prstGeom prst="rect"/>
                        </pic:spPr>
                      </pic:pic>
                    </a:graphicData>
                  </a:graphic>
                </wp:inline>
              </w:drawing>
            </w:r>
          </w:p>
          <w:p>
            <w:pPr>
              <w:spacing w:after="40"/>
              <w:jc w:val="center"/>
            </w:pPr>
            <w:r>
              <w:rPr>
                <w:rFonts w:ascii="Times New Roman" w:hAnsi="Times New Roman"/>
                <w:b w:val="0"/>
                <w:i/>
                <w:color w:val="555555"/>
                <w:sz w:val="17"/>
              </w:rPr>
              <w:t>(a) S2 (no binder)</w:t>
            </w:r>
          </w:p>
        </w:tc>
        <w:tc>
          <w:tcPr>
            <w:tcW w:type="dxa" w:w="2592"/>
          </w:tcPr>
          <w:p>
            <w:pPr>
              <w:spacing w:after="40"/>
              <w:jc w:val="center"/>
            </w:pPr>
            <w:r>
              <w:drawing>
                <wp:inline xmlns:a="http://schemas.openxmlformats.org/drawingml/2006/main" xmlns:pic="http://schemas.openxmlformats.org/drawingml/2006/picture">
                  <wp:extent cx="1508760" cy="1131570"/>
                  <wp:docPr id="8" name="Picture 8"/>
                  <wp:cNvGraphicFramePr>
                    <a:graphicFrameLocks noChangeAspect="1"/>
                  </wp:cNvGraphicFramePr>
                  <a:graphic>
                    <a:graphicData uri="http://schemas.openxmlformats.org/drawingml/2006/picture">
                      <pic:pic>
                        <pic:nvPicPr>
                          <pic:cNvPr id="0" name="cyl2_9010.jpg"/>
                          <pic:cNvPicPr/>
                        </pic:nvPicPr>
                        <pic:blipFill>
                          <a:blip r:embed="rId16"/>
                          <a:stretch>
                            <a:fillRect/>
                          </a:stretch>
                        </pic:blipFill>
                        <pic:spPr>
                          <a:xfrm>
                            <a:off x="0" y="0"/>
                            <a:ext cx="1508760" cy="1131570"/>
                          </a:xfrm>
                          <a:prstGeom prst="rect"/>
                        </pic:spPr>
                      </pic:pic>
                    </a:graphicData>
                  </a:graphic>
                </wp:inline>
              </w:drawing>
            </w:r>
          </w:p>
          <w:p>
            <w:pPr>
              <w:spacing w:after="40"/>
              <w:jc w:val="center"/>
            </w:pPr>
            <w:r>
              <w:rPr>
                <w:rFonts w:ascii="Times New Roman" w:hAnsi="Times New Roman"/>
                <w:b w:val="0"/>
                <w:i/>
                <w:color w:val="555555"/>
                <w:sz w:val="17"/>
              </w:rPr>
              <w:t>(b) S3 (90:10)</w:t>
            </w:r>
          </w:p>
        </w:tc>
        <w:tc>
          <w:tcPr>
            <w:tcW w:type="dxa" w:w="2592"/>
          </w:tcPr>
          <w:p>
            <w:pPr>
              <w:spacing w:after="40"/>
              <w:jc w:val="center"/>
            </w:pPr>
            <w:r>
              <w:drawing>
                <wp:inline xmlns:a="http://schemas.openxmlformats.org/drawingml/2006/main" xmlns:pic="http://schemas.openxmlformats.org/drawingml/2006/picture">
                  <wp:extent cx="1508760" cy="1131570"/>
                  <wp:docPr id="9" name="Picture 9"/>
                  <wp:cNvGraphicFramePr>
                    <a:graphicFrameLocks noChangeAspect="1"/>
                  </wp:cNvGraphicFramePr>
                  <a:graphic>
                    <a:graphicData uri="http://schemas.openxmlformats.org/drawingml/2006/picture">
                      <pic:pic>
                        <pic:nvPicPr>
                          <pic:cNvPr id="0" name="cyl3_7030.jpg"/>
                          <pic:cNvPicPr/>
                        </pic:nvPicPr>
                        <pic:blipFill>
                          <a:blip r:embed="rId17"/>
                          <a:stretch>
                            <a:fillRect/>
                          </a:stretch>
                        </pic:blipFill>
                        <pic:spPr>
                          <a:xfrm>
                            <a:off x="0" y="0"/>
                            <a:ext cx="1508760" cy="1131570"/>
                          </a:xfrm>
                          <a:prstGeom prst="rect"/>
                        </pic:spPr>
                      </pic:pic>
                    </a:graphicData>
                  </a:graphic>
                </wp:inline>
              </w:drawing>
            </w:r>
          </w:p>
          <w:p>
            <w:pPr>
              <w:spacing w:after="40"/>
              <w:jc w:val="center"/>
            </w:pPr>
            <w:r>
              <w:rPr>
                <w:rFonts w:ascii="Times New Roman" w:hAnsi="Times New Roman"/>
                <w:b w:val="0"/>
                <w:i/>
                <w:color w:val="555555"/>
                <w:sz w:val="17"/>
              </w:rPr>
              <w:t>(c) S4 (70:30)</w:t>
            </w:r>
          </w:p>
        </w:tc>
      </w:tr>
    </w:tbl>
    <w:p>
      <w:pPr>
        <w:spacing w:line="240" w:lineRule="auto" w:after="280"/>
        <w:jc w:val="center"/>
      </w:pPr>
      <w:r>
        <w:rPr>
          <w:rFonts w:ascii="Times New Roman" w:hAnsi="Times New Roman"/>
          <w:b/>
          <w:sz w:val="19"/>
        </w:rPr>
        <w:t xml:space="preserve">Fig. 3. </w:t>
      </w:r>
      <w:r>
        <w:rPr>
          <w:rFonts w:ascii="Times New Roman" w:hAnsi="Times New Roman"/>
          <w:sz w:val="19"/>
        </w:rPr>
        <w:t>Prepared cylindrical specimens (30 mm × 25 mm) used for unconfined compression testing: (a) S2, (b) S3 and (c) S4.</w:t>
      </w:r>
    </w:p>
    <w:p>
      <w:pPr>
        <w:spacing w:before="160" w:after="40"/>
        <w:jc w:val="center"/>
      </w:pPr>
      <w:r>
        <w:drawing>
          <wp:inline xmlns:a="http://schemas.openxmlformats.org/drawingml/2006/main" xmlns:pic="http://schemas.openxmlformats.org/drawingml/2006/picture">
            <wp:extent cx="4937760" cy="7518956"/>
            <wp:docPr id="10" name="Picture 10"/>
            <wp:cNvGraphicFramePr>
              <a:graphicFrameLocks noChangeAspect="1"/>
            </wp:cNvGraphicFramePr>
            <a:graphic>
              <a:graphicData uri="http://schemas.openxmlformats.org/drawingml/2006/picture">
                <pic:pic>
                  <pic:nvPicPr>
                    <pic:cNvPr id="0" name="Fig06_Process_Flowsheet.png"/>
                    <pic:cNvPicPr/>
                  </pic:nvPicPr>
                  <pic:blipFill>
                    <a:blip r:embed="rId18"/>
                    <a:stretch>
                      <a:fillRect/>
                    </a:stretch>
                  </pic:blipFill>
                  <pic:spPr>
                    <a:xfrm>
                      <a:off x="0" y="0"/>
                      <a:ext cx="4937760" cy="7518956"/>
                    </a:xfrm>
                    <a:prstGeom prst="rect"/>
                  </pic:spPr>
                </pic:pic>
              </a:graphicData>
            </a:graphic>
          </wp:inline>
        </w:drawing>
      </w:r>
    </w:p>
    <w:p>
      <w:pPr>
        <w:spacing w:line="240" w:lineRule="auto" w:after="280"/>
        <w:jc w:val="center"/>
      </w:pPr>
      <w:r>
        <w:rPr>
          <w:rFonts w:ascii="Times New Roman" w:hAnsi="Times New Roman"/>
          <w:b/>
          <w:sz w:val="19"/>
        </w:rPr>
        <w:t xml:space="preserve">Fig. 4. </w:t>
      </w:r>
      <w:r>
        <w:rPr>
          <w:rFonts w:ascii="Times New Roman" w:hAnsi="Times New Roman"/>
          <w:sz w:val="19"/>
        </w:rPr>
        <w:t>Process flowsheet for fabrication of the bio-composite insulation panels from waste aquatic biomass.</w:t>
      </w:r>
    </w:p>
    <w:p>
      <w:pPr>
        <w:keepNext/>
        <w:spacing w:line="360" w:lineRule="auto" w:before="280" w:after="120"/>
      </w:pPr>
      <w:r>
        <w:rPr>
          <w:rFonts w:ascii="Times New Roman" w:hAnsi="Times New Roman"/>
          <w:b/>
          <w:color w:val="000000"/>
          <w:sz w:val="24"/>
        </w:rPr>
        <w:t>2.4.  Characterization methods</w:t>
      </w:r>
    </w:p>
    <w:p>
      <w:pPr>
        <w:spacing w:lineRule="auto" w:line="360" w:before="0" w:after="160"/>
        <w:jc w:val="both"/>
      </w:pPr>
      <w:r>
        <w:rPr>
          <w:rFonts w:ascii="Times New Roman" w:hAnsi="Times New Roman"/>
          <w:b w:val="0"/>
          <w:i w:val="0"/>
          <w:sz w:val="22"/>
        </w:rPr>
        <w:t>Panels were characterized following recognised ASTM standards, with three replicates (n = 3) per property. Moisture content (MC) was determined gravimetrically as MC = (Wᵢ − Wf)/Wᵢ × 100, where Wᵢ and Wf are the masses before and after oven-drying to constant mass (ASTM D4442). Bulk density (ρ) was obtained from the oven-dry mass and the moulded volume measured with a vernier calliper (ASTM D1037). Water absorption (WA) was measured after a 2-h immersion as WA = (W_wet − W_dry)/W_dry × 100 (ASTM D570).</w:t>
      </w:r>
    </w:p>
    <w:p>
      <w:pPr>
        <w:spacing w:lineRule="auto" w:line="360" w:before="0" w:after="160"/>
        <w:jc w:val="both"/>
      </w:pPr>
      <w:r>
        <w:rPr>
          <w:rFonts w:ascii="Times New Roman" w:hAnsi="Times New Roman"/>
          <w:b w:val="0"/>
          <w:i w:val="0"/>
          <w:sz w:val="22"/>
        </w:rPr>
        <w:t>Mechanical performance of the cylindrical specimens was evaluated with a Baker Type K12 proving-ring unconfined compression apparatus (calibration constant C = 2.256 N/div) fitted with an ASAHI displacement gauge (0.01 mm). Load and deformation were recorded at 0.5 mm intervals and reduced using the standard area-correction relations ε = ΔL/H₀, A = A₀/(1 − ε), σ = F/A, with the unconfined compressive strength qᵤ taken as the peak stress and the undrained shear strength as Sᵤ = qᵤ/2 (initial area A₀ = 706.86 mm²). Sample S1 was excluded as it fractured on demoulding. Thermal conductivity (k) was measured with a KD2 Pro Thermal Properties Analyzer (METER Group) fitted with a TR-3 three-needle probe applying the transient line-source method (ASTM D5334 / IEEE 442) in HIGH mode with 5-min read times at 25–26 °C; the instrument goodness-of-fit parameter (Syx) was recorded, with values below 2.0 considered acceptable. Results are reported as the mean of three replicates with the sample standard deviation shown as error bars.</w:t>
      </w:r>
    </w:p>
    <w:p>
      <w:pPr>
        <w:keepNext/>
        <w:spacing w:line="360" w:lineRule="auto" w:before="240" w:after="120"/>
      </w:pPr>
      <w:r>
        <w:rPr>
          <w:rFonts w:ascii="Times New Roman" w:hAnsi="Times New Roman"/>
          <w:b/>
          <w:color w:val="000000"/>
          <w:sz w:val="26"/>
        </w:rPr>
        <w:t>3.  Results and discussion</w:t>
      </w:r>
    </w:p>
    <w:p>
      <w:pPr>
        <w:keepNext/>
        <w:spacing w:line="360" w:lineRule="auto" w:before="280" w:after="120"/>
      </w:pPr>
      <w:r>
        <w:rPr>
          <w:rFonts w:ascii="Times New Roman" w:hAnsi="Times New Roman"/>
          <w:b/>
          <w:color w:val="000000"/>
          <w:sz w:val="24"/>
        </w:rPr>
        <w:t>3.1.  Moisture content and bulk density</w:t>
      </w:r>
    </w:p>
    <w:p>
      <w:pPr>
        <w:spacing w:lineRule="auto" w:line="360" w:before="0" w:after="160"/>
        <w:jc w:val="both"/>
      </w:pPr>
      <w:r>
        <w:rPr>
          <w:rFonts w:ascii="Times New Roman" w:hAnsi="Times New Roman"/>
          <w:b w:val="0"/>
          <w:i w:val="0"/>
          <w:sz w:val="22"/>
        </w:rPr>
        <w:t>Moisture content increased markedly with both decreasing particle size and increasing starch fraction (Table 2, Fig. 5a). The coarse binder-less panel S1 recorded the lowest MC (9.94 %) owing to its open, highly porous structure, while the high-starch panel S4 recorded the highest (41.18 %), reflecting the strongly hygroscopic nature of corn starch; S2 (18.67 %) and S3 (23.93 %) lay in between. The progressive rise in MC from S1 to S4 foreshadows the mechanical and thermal trends discussed below, since residual moisture both plasticises the binder and degrades insulation. Bulk density (Fig. 5b) was highest for the compact coarse panel S1 (1.087 g cm⁻³) and lowest for the thinner, starch-rich S4 (0.868 g cm⁻³); the 90:10 panel S3 (0.992 g cm⁻³) was denser than the fine binder-less S2 (0.900 g cm⁻³), indicating that a modest 10 % starch addition fills inter-particle voids and improves compaction.</w:t>
      </w:r>
    </w:p>
    <w:p>
      <w:pPr>
        <w:spacing w:line="240" w:lineRule="auto" w:before="200" w:after="60"/>
      </w:pPr>
      <w:r>
        <w:rPr>
          <w:rFonts w:ascii="Times New Roman" w:hAnsi="Times New Roman"/>
          <w:b/>
          <w:sz w:val="19"/>
        </w:rPr>
        <w:t>Table 2</w:t>
      </w:r>
    </w:p>
    <w:p>
      <w:pPr>
        <w:spacing w:line="240" w:lineRule="auto" w:after="80"/>
      </w:pPr>
      <w:r>
        <w:rPr>
          <w:rFonts w:ascii="Times New Roman" w:hAnsi="Times New Roman"/>
          <w:i/>
          <w:sz w:val="19"/>
        </w:rPr>
        <w:t>Physical properties of the bio-composite panels (mean of n = 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296"/>
            <w:shd w:val="clear" w:color="auto" w:fill="D9D9D9"/>
            <w:vAlign w:val="center"/>
          </w:tcPr>
          <w:p>
            <w:pPr>
              <w:spacing w:line="240" w:lineRule="auto" w:after="40" w:before="40"/>
              <w:jc w:val="center"/>
            </w:pPr>
            <w:r>
              <w:rPr>
                <w:rFonts w:ascii="Times New Roman" w:hAnsi="Times New Roman"/>
                <w:b/>
                <w:sz w:val="19"/>
              </w:rPr>
              <w:t>Sample</w:t>
            </w:r>
          </w:p>
        </w:tc>
        <w:tc>
          <w:tcPr>
            <w:tcW w:type="dxa" w:w="2736"/>
            <w:shd w:val="clear" w:color="auto" w:fill="D9D9D9"/>
            <w:vAlign w:val="center"/>
          </w:tcPr>
          <w:p>
            <w:pPr>
              <w:spacing w:line="240" w:lineRule="auto" w:after="40" w:before="40"/>
              <w:jc w:val="center"/>
            </w:pPr>
            <w:r>
              <w:rPr>
                <w:rFonts w:ascii="Times New Roman" w:hAnsi="Times New Roman"/>
                <w:b/>
                <w:sz w:val="19"/>
              </w:rPr>
              <w:t>Moisture content (%)</w:t>
            </w:r>
          </w:p>
        </w:tc>
        <w:tc>
          <w:tcPr>
            <w:tcW w:type="dxa" w:w="2736"/>
            <w:shd w:val="clear" w:color="auto" w:fill="D9D9D9"/>
            <w:vAlign w:val="center"/>
          </w:tcPr>
          <w:p>
            <w:pPr>
              <w:spacing w:line="240" w:lineRule="auto" w:after="40" w:before="40"/>
              <w:jc w:val="center"/>
            </w:pPr>
            <w:r>
              <w:rPr>
                <w:rFonts w:ascii="Times New Roman" w:hAnsi="Times New Roman"/>
                <w:b/>
                <w:sz w:val="19"/>
              </w:rPr>
              <w:t>Bulk density (g cm⁻³)</w:t>
            </w:r>
          </w:p>
        </w:tc>
        <w:tc>
          <w:tcPr>
            <w:tcW w:type="dxa" w:w="2448"/>
            <w:shd w:val="clear" w:color="auto" w:fill="D9D9D9"/>
            <w:vAlign w:val="center"/>
          </w:tcPr>
          <w:p>
            <w:pPr>
              <w:spacing w:line="240" w:lineRule="auto" w:after="40" w:before="40"/>
              <w:jc w:val="center"/>
            </w:pPr>
            <w:r>
              <w:rPr>
                <w:rFonts w:ascii="Times New Roman" w:hAnsi="Times New Roman"/>
                <w:b/>
                <w:sz w:val="19"/>
              </w:rPr>
              <w:t>Water absorption (%)</w:t>
            </w:r>
          </w:p>
        </w:tc>
      </w:tr>
      <w:tr>
        <w:tc>
          <w:tcPr>
            <w:tcW w:type="dxa" w:w="1296"/>
            <w:vAlign w:val="center"/>
          </w:tcPr>
          <w:p>
            <w:pPr>
              <w:spacing w:line="240" w:lineRule="auto" w:after="40" w:before="40"/>
              <w:jc w:val="left"/>
            </w:pPr>
            <w:r>
              <w:rPr>
                <w:rFonts w:ascii="Times New Roman" w:hAnsi="Times New Roman"/>
                <w:sz w:val="19"/>
              </w:rPr>
              <w:t>S1</w:t>
            </w:r>
          </w:p>
        </w:tc>
        <w:tc>
          <w:tcPr>
            <w:tcW w:type="dxa" w:w="2736"/>
            <w:vAlign w:val="center"/>
          </w:tcPr>
          <w:p>
            <w:pPr>
              <w:spacing w:line="240" w:lineRule="auto" w:after="40" w:before="40"/>
              <w:jc w:val="center"/>
            </w:pPr>
            <w:r>
              <w:rPr>
                <w:rFonts w:ascii="Times New Roman" w:hAnsi="Times New Roman"/>
                <w:sz w:val="19"/>
              </w:rPr>
              <w:t>9.94</w:t>
            </w:r>
          </w:p>
        </w:tc>
        <w:tc>
          <w:tcPr>
            <w:tcW w:type="dxa" w:w="2736"/>
            <w:vAlign w:val="center"/>
          </w:tcPr>
          <w:p>
            <w:pPr>
              <w:spacing w:line="240" w:lineRule="auto" w:after="40" w:before="40"/>
              <w:jc w:val="center"/>
            </w:pPr>
            <w:r>
              <w:rPr>
                <w:rFonts w:ascii="Times New Roman" w:hAnsi="Times New Roman"/>
                <w:sz w:val="19"/>
              </w:rPr>
              <w:t>1.087</w:t>
            </w:r>
          </w:p>
        </w:tc>
        <w:tc>
          <w:tcPr>
            <w:tcW w:type="dxa" w:w="2448"/>
            <w:vAlign w:val="center"/>
          </w:tcPr>
          <w:p>
            <w:pPr>
              <w:spacing w:line="240" w:lineRule="auto" w:after="40" w:before="40"/>
              <w:jc w:val="center"/>
            </w:pPr>
            <w:r>
              <w:rPr>
                <w:rFonts w:ascii="Times New Roman" w:hAnsi="Times New Roman"/>
                <w:sz w:val="19"/>
              </w:rPr>
              <w:t>657.89</w:t>
            </w:r>
          </w:p>
        </w:tc>
      </w:tr>
      <w:tr>
        <w:tc>
          <w:tcPr>
            <w:tcW w:type="dxa" w:w="1296"/>
            <w:vAlign w:val="center"/>
          </w:tcPr>
          <w:p>
            <w:pPr>
              <w:spacing w:line="240" w:lineRule="auto" w:after="40" w:before="40"/>
              <w:jc w:val="left"/>
            </w:pPr>
            <w:r>
              <w:rPr>
                <w:rFonts w:ascii="Times New Roman" w:hAnsi="Times New Roman"/>
                <w:sz w:val="19"/>
              </w:rPr>
              <w:t>S2</w:t>
            </w:r>
          </w:p>
        </w:tc>
        <w:tc>
          <w:tcPr>
            <w:tcW w:type="dxa" w:w="2736"/>
            <w:vAlign w:val="center"/>
          </w:tcPr>
          <w:p>
            <w:pPr>
              <w:spacing w:line="240" w:lineRule="auto" w:after="40" w:before="40"/>
              <w:jc w:val="center"/>
            </w:pPr>
            <w:r>
              <w:rPr>
                <w:rFonts w:ascii="Times New Roman" w:hAnsi="Times New Roman"/>
                <w:sz w:val="19"/>
              </w:rPr>
              <w:t>18.67</w:t>
            </w:r>
          </w:p>
        </w:tc>
        <w:tc>
          <w:tcPr>
            <w:tcW w:type="dxa" w:w="2736"/>
            <w:vAlign w:val="center"/>
          </w:tcPr>
          <w:p>
            <w:pPr>
              <w:spacing w:line="240" w:lineRule="auto" w:after="40" w:before="40"/>
              <w:jc w:val="center"/>
            </w:pPr>
            <w:r>
              <w:rPr>
                <w:rFonts w:ascii="Times New Roman" w:hAnsi="Times New Roman"/>
                <w:sz w:val="19"/>
              </w:rPr>
              <w:t>0.900</w:t>
            </w:r>
          </w:p>
        </w:tc>
        <w:tc>
          <w:tcPr>
            <w:tcW w:type="dxa" w:w="2448"/>
            <w:vAlign w:val="center"/>
          </w:tcPr>
          <w:p>
            <w:pPr>
              <w:spacing w:line="240" w:lineRule="auto" w:after="40" w:before="40"/>
              <w:jc w:val="center"/>
            </w:pPr>
            <w:r>
              <w:rPr>
                <w:rFonts w:ascii="Times New Roman" w:hAnsi="Times New Roman"/>
                <w:sz w:val="19"/>
              </w:rPr>
              <w:t>522.86</w:t>
            </w:r>
          </w:p>
        </w:tc>
      </w:tr>
      <w:tr>
        <w:tc>
          <w:tcPr>
            <w:tcW w:type="dxa" w:w="1296"/>
            <w:vAlign w:val="center"/>
          </w:tcPr>
          <w:p>
            <w:pPr>
              <w:spacing w:line="240" w:lineRule="auto" w:after="40" w:before="40"/>
              <w:jc w:val="left"/>
            </w:pPr>
            <w:r>
              <w:rPr>
                <w:rFonts w:ascii="Times New Roman" w:hAnsi="Times New Roman"/>
                <w:sz w:val="19"/>
              </w:rPr>
              <w:t>S3</w:t>
            </w:r>
          </w:p>
        </w:tc>
        <w:tc>
          <w:tcPr>
            <w:tcW w:type="dxa" w:w="2736"/>
            <w:vAlign w:val="center"/>
          </w:tcPr>
          <w:p>
            <w:pPr>
              <w:spacing w:line="240" w:lineRule="auto" w:after="40" w:before="40"/>
              <w:jc w:val="center"/>
            </w:pPr>
            <w:r>
              <w:rPr>
                <w:rFonts w:ascii="Times New Roman" w:hAnsi="Times New Roman"/>
                <w:sz w:val="19"/>
              </w:rPr>
              <w:t>23.93</w:t>
            </w:r>
          </w:p>
        </w:tc>
        <w:tc>
          <w:tcPr>
            <w:tcW w:type="dxa" w:w="2736"/>
            <w:vAlign w:val="center"/>
          </w:tcPr>
          <w:p>
            <w:pPr>
              <w:spacing w:line="240" w:lineRule="auto" w:after="40" w:before="40"/>
              <w:jc w:val="center"/>
            </w:pPr>
            <w:r>
              <w:rPr>
                <w:rFonts w:ascii="Times New Roman" w:hAnsi="Times New Roman"/>
                <w:sz w:val="19"/>
              </w:rPr>
              <w:t>0.992</w:t>
            </w:r>
          </w:p>
        </w:tc>
        <w:tc>
          <w:tcPr>
            <w:tcW w:type="dxa" w:w="2448"/>
            <w:vAlign w:val="center"/>
          </w:tcPr>
          <w:p>
            <w:pPr>
              <w:spacing w:line="240" w:lineRule="auto" w:after="40" w:before="40"/>
              <w:jc w:val="center"/>
            </w:pPr>
            <w:r>
              <w:rPr>
                <w:rFonts w:ascii="Times New Roman" w:hAnsi="Times New Roman"/>
                <w:sz w:val="19"/>
              </w:rPr>
              <w:t>507.14</w:t>
            </w:r>
          </w:p>
        </w:tc>
      </w:tr>
      <w:tr>
        <w:tc>
          <w:tcPr>
            <w:tcW w:type="dxa" w:w="1296"/>
            <w:vAlign w:val="center"/>
          </w:tcPr>
          <w:p>
            <w:pPr>
              <w:spacing w:line="240" w:lineRule="auto" w:after="40" w:before="40"/>
              <w:jc w:val="left"/>
            </w:pPr>
            <w:r>
              <w:rPr>
                <w:rFonts w:ascii="Times New Roman" w:hAnsi="Times New Roman"/>
                <w:sz w:val="19"/>
              </w:rPr>
              <w:t>S4</w:t>
            </w:r>
          </w:p>
        </w:tc>
        <w:tc>
          <w:tcPr>
            <w:tcW w:type="dxa" w:w="2736"/>
            <w:vAlign w:val="center"/>
          </w:tcPr>
          <w:p>
            <w:pPr>
              <w:spacing w:line="240" w:lineRule="auto" w:after="40" w:before="40"/>
              <w:jc w:val="center"/>
            </w:pPr>
            <w:r>
              <w:rPr>
                <w:rFonts w:ascii="Times New Roman" w:hAnsi="Times New Roman"/>
                <w:sz w:val="19"/>
              </w:rPr>
              <w:t>41.18</w:t>
            </w:r>
          </w:p>
        </w:tc>
        <w:tc>
          <w:tcPr>
            <w:tcW w:type="dxa" w:w="2736"/>
            <w:vAlign w:val="center"/>
          </w:tcPr>
          <w:p>
            <w:pPr>
              <w:spacing w:line="240" w:lineRule="auto" w:after="40" w:before="40"/>
              <w:jc w:val="center"/>
            </w:pPr>
            <w:r>
              <w:rPr>
                <w:rFonts w:ascii="Times New Roman" w:hAnsi="Times New Roman"/>
                <w:sz w:val="19"/>
              </w:rPr>
              <w:t>0.868</w:t>
            </w:r>
          </w:p>
        </w:tc>
        <w:tc>
          <w:tcPr>
            <w:tcW w:type="dxa" w:w="2448"/>
            <w:vAlign w:val="center"/>
          </w:tcPr>
          <w:p>
            <w:pPr>
              <w:spacing w:line="240" w:lineRule="auto" w:after="40" w:before="40"/>
              <w:jc w:val="center"/>
            </w:pPr>
            <w:r>
              <w:rPr>
                <w:rFonts w:ascii="Times New Roman" w:hAnsi="Times New Roman"/>
                <w:sz w:val="19"/>
              </w:rPr>
              <w:t>280.00</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706"/>
        <w:gridCol w:w="4706"/>
      </w:tblGrid>
      <w:tr>
        <w:tc>
          <w:tcPr>
            <w:tcW w:type="dxa" w:w="4464"/>
          </w:tcPr>
          <w:p>
            <w:pPr>
              <w:spacing w:after="40"/>
              <w:jc w:val="center"/>
            </w:pPr>
            <w:r>
              <w:drawing>
                <wp:inline xmlns:a="http://schemas.openxmlformats.org/drawingml/2006/main" xmlns:pic="http://schemas.openxmlformats.org/drawingml/2006/picture">
                  <wp:extent cx="2697480" cy="1984804"/>
                  <wp:docPr id="11" name="Picture 11"/>
                  <wp:cNvGraphicFramePr>
                    <a:graphicFrameLocks noChangeAspect="1"/>
                  </wp:cNvGraphicFramePr>
                  <a:graphic>
                    <a:graphicData uri="http://schemas.openxmlformats.org/drawingml/2006/picture">
                      <pic:pic>
                        <pic:nvPicPr>
                          <pic:cNvPr id="0" name="Fig14_Moisture_Content.png"/>
                          <pic:cNvPicPr/>
                        </pic:nvPicPr>
                        <pic:blipFill>
                          <a:blip r:embed="rId19"/>
                          <a:stretch>
                            <a:fillRect/>
                          </a:stretch>
                        </pic:blipFill>
                        <pic:spPr>
                          <a:xfrm>
                            <a:off x="0" y="0"/>
                            <a:ext cx="2697480" cy="1984804"/>
                          </a:xfrm>
                          <a:prstGeom prst="rect"/>
                        </pic:spPr>
                      </pic:pic>
                    </a:graphicData>
                  </a:graphic>
                </wp:inline>
              </w:drawing>
            </w:r>
          </w:p>
          <w:p>
            <w:pPr>
              <w:spacing w:after="40"/>
              <w:jc w:val="center"/>
            </w:pPr>
            <w:r>
              <w:rPr>
                <w:rFonts w:ascii="Times New Roman" w:hAnsi="Times New Roman"/>
                <w:b w:val="0"/>
                <w:i/>
                <w:color w:val="555555"/>
                <w:sz w:val="17"/>
              </w:rPr>
              <w:t>(a) Moisture content</w:t>
            </w:r>
          </w:p>
        </w:tc>
        <w:tc>
          <w:tcPr>
            <w:tcW w:type="dxa" w:w="4464"/>
          </w:tcPr>
          <w:p>
            <w:pPr>
              <w:spacing w:after="40"/>
              <w:jc w:val="center"/>
            </w:pPr>
            <w:r>
              <w:drawing>
                <wp:inline xmlns:a="http://schemas.openxmlformats.org/drawingml/2006/main" xmlns:pic="http://schemas.openxmlformats.org/drawingml/2006/picture">
                  <wp:extent cx="2697480" cy="1984804"/>
                  <wp:docPr id="12" name="Picture 12"/>
                  <wp:cNvGraphicFramePr>
                    <a:graphicFrameLocks noChangeAspect="1"/>
                  </wp:cNvGraphicFramePr>
                  <a:graphic>
                    <a:graphicData uri="http://schemas.openxmlformats.org/drawingml/2006/picture">
                      <pic:pic>
                        <pic:nvPicPr>
                          <pic:cNvPr id="0" name="Fig15_Bulk_Density.png"/>
                          <pic:cNvPicPr/>
                        </pic:nvPicPr>
                        <pic:blipFill>
                          <a:blip r:embed="rId20"/>
                          <a:stretch>
                            <a:fillRect/>
                          </a:stretch>
                        </pic:blipFill>
                        <pic:spPr>
                          <a:xfrm>
                            <a:off x="0" y="0"/>
                            <a:ext cx="2697480" cy="1984804"/>
                          </a:xfrm>
                          <a:prstGeom prst="rect"/>
                        </pic:spPr>
                      </pic:pic>
                    </a:graphicData>
                  </a:graphic>
                </wp:inline>
              </w:drawing>
            </w:r>
          </w:p>
          <w:p>
            <w:pPr>
              <w:spacing w:after="40"/>
              <w:jc w:val="center"/>
            </w:pPr>
            <w:r>
              <w:rPr>
                <w:rFonts w:ascii="Times New Roman" w:hAnsi="Times New Roman"/>
                <w:b w:val="0"/>
                <w:i/>
                <w:color w:val="555555"/>
                <w:sz w:val="17"/>
              </w:rPr>
              <w:t>(b) Bulk density</w:t>
            </w:r>
          </w:p>
        </w:tc>
      </w:tr>
    </w:tbl>
    <w:p>
      <w:pPr>
        <w:spacing w:line="240" w:lineRule="auto" w:after="280"/>
        <w:jc w:val="center"/>
      </w:pPr>
      <w:r>
        <w:rPr>
          <w:rFonts w:ascii="Times New Roman" w:hAnsi="Times New Roman"/>
          <w:b/>
          <w:sz w:val="19"/>
        </w:rPr>
        <w:t xml:space="preserve">Fig. 5. </w:t>
      </w:r>
      <w:r>
        <w:rPr>
          <w:rFonts w:ascii="Times New Roman" w:hAnsi="Times New Roman"/>
          <w:sz w:val="19"/>
        </w:rPr>
        <w:t>(a) Mean moisture content and (b) mean bulk density of the bio-composite panels (error bars = ± 1 SD).</w:t>
      </w:r>
    </w:p>
    <w:p>
      <w:pPr>
        <w:keepNext/>
        <w:spacing w:line="360" w:lineRule="auto" w:before="280" w:after="120"/>
      </w:pPr>
      <w:r>
        <w:rPr>
          <w:rFonts w:ascii="Times New Roman" w:hAnsi="Times New Roman"/>
          <w:b/>
          <w:color w:val="000000"/>
          <w:sz w:val="24"/>
        </w:rPr>
        <w:t>3.2.  Water absorption</w:t>
      </w:r>
    </w:p>
    <w:p>
      <w:pPr>
        <w:spacing w:lineRule="auto" w:line="360" w:before="0" w:after="160"/>
        <w:jc w:val="both"/>
      </w:pPr>
      <w:r>
        <w:rPr>
          <w:rFonts w:ascii="Times New Roman" w:hAnsi="Times New Roman"/>
          <w:b w:val="0"/>
          <w:i w:val="0"/>
          <w:sz w:val="22"/>
        </w:rPr>
        <w:t>All panels exhibited high water uptake, characteristic of untreated lignocellulosic materials, but a clear decreasing trend with increasing binder fraction was observed (Table 2, Fig. 6). The binder-less coarse panel S1 absorbed the most (657.89 %), followed by S2 (522.86 %) and S3 (507.14 %); the high-starch panel S4 absorbed the least (280.00 %), because the larger starch fraction fills open pores and reduces accessible porosity despite starch itself being hydrophilic. These values are consistent with the 450–555 % range reported by Salas-Ruiz et al. (2019) for binder-less water-hyacinth boards and confirm that moisture resistance remains the principal limitation, motivating a future hydrophobic treatment such as the beeswax coating of Chaireh et al. (2020).</w:t>
      </w:r>
    </w:p>
    <w:p>
      <w:pPr>
        <w:spacing w:before="160" w:after="40"/>
        <w:jc w:val="center"/>
      </w:pPr>
      <w:r>
        <w:drawing>
          <wp:inline xmlns:a="http://schemas.openxmlformats.org/drawingml/2006/main" xmlns:pic="http://schemas.openxmlformats.org/drawingml/2006/picture">
            <wp:extent cx="4023360" cy="2960385"/>
            <wp:docPr id="13" name="Picture 13"/>
            <wp:cNvGraphicFramePr>
              <a:graphicFrameLocks noChangeAspect="1"/>
            </wp:cNvGraphicFramePr>
            <a:graphic>
              <a:graphicData uri="http://schemas.openxmlformats.org/drawingml/2006/picture">
                <pic:pic>
                  <pic:nvPicPr>
                    <pic:cNvPr id="0" name="Fig16_Water_Absorption.png"/>
                    <pic:cNvPicPr/>
                  </pic:nvPicPr>
                  <pic:blipFill>
                    <a:blip r:embed="rId21"/>
                    <a:stretch>
                      <a:fillRect/>
                    </a:stretch>
                  </pic:blipFill>
                  <pic:spPr>
                    <a:xfrm>
                      <a:off x="0" y="0"/>
                      <a:ext cx="4023360" cy="2960385"/>
                    </a:xfrm>
                    <a:prstGeom prst="rect"/>
                  </pic:spPr>
                </pic:pic>
              </a:graphicData>
            </a:graphic>
          </wp:inline>
        </w:drawing>
      </w:r>
    </w:p>
    <w:p>
      <w:pPr>
        <w:spacing w:line="240" w:lineRule="auto" w:after="280"/>
        <w:jc w:val="center"/>
      </w:pPr>
      <w:r>
        <w:rPr>
          <w:rFonts w:ascii="Times New Roman" w:hAnsi="Times New Roman"/>
          <w:b/>
          <w:sz w:val="19"/>
        </w:rPr>
        <w:t xml:space="preserve">Fig. 6. </w:t>
      </w:r>
      <w:r>
        <w:rPr>
          <w:rFonts w:ascii="Times New Roman" w:hAnsi="Times New Roman"/>
          <w:sz w:val="19"/>
        </w:rPr>
        <w:t>Mean water absorption of the bio-composite panels after a 2-h soak (error bars = ± 1 SD).</w:t>
      </w:r>
    </w:p>
    <w:p>
      <w:pPr>
        <w:keepNext/>
        <w:spacing w:line="360" w:lineRule="auto" w:before="280" w:after="120"/>
      </w:pPr>
      <w:r>
        <w:rPr>
          <w:rFonts w:ascii="Times New Roman" w:hAnsi="Times New Roman"/>
          <w:b/>
          <w:color w:val="000000"/>
          <w:sz w:val="24"/>
        </w:rPr>
        <w:t>3.3.  Unconfined compressive strength</w:t>
      </w:r>
    </w:p>
    <w:p>
      <w:pPr>
        <w:spacing w:lineRule="auto" w:line="360" w:before="0" w:after="160"/>
        <w:jc w:val="both"/>
      </w:pPr>
      <w:r>
        <w:rPr>
          <w:rFonts w:ascii="Times New Roman" w:hAnsi="Times New Roman"/>
          <w:b w:val="0"/>
          <w:i w:val="0"/>
          <w:sz w:val="22"/>
        </w:rPr>
        <w:t>All tested panels failed at a consistent axial strain of about 16 % (Fig. 7a), indicating that the biomass skeleton governs the failure strain irrespective of binder content. The 90:10 panel S3 achieved the highest unconfined compressive strength (qᵤ = 186.0 kPa), a 97 % improvement over the fine binder-less panel S2 (94.4 kPa), confirming 10 wt% corn starch as the optimal binder content (Fig. 7b). Counter-intuitively, the high-starch panel S4 was the weakest (26.8 kPa): an excess of starch produces a continuous but weak, plasticised matrix that is further softened by its very high moisture content (41.18 %), so that load is carried by the soft binder rather than transferred efficiently between fibres. This optimum-loading behaviour mirrors that reported for other water-hyacinth composites, where intermediate fibre/binder ratios maximise strength (Abral et al., 2014; Zhou et al., 2022). The corresponding undrained shear strengths (Sᵤ = qᵤ/2) of 47.2, 93.0 and 13.4 kPa for S2, S3 and S4 follow the same ranking.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706"/>
        <w:gridCol w:w="4706"/>
      </w:tblGrid>
      <w:tr>
        <w:tc>
          <w:tcPr>
            <w:tcW w:type="dxa" w:w="4464"/>
          </w:tcPr>
          <w:p>
            <w:pPr>
              <w:spacing w:after="40"/>
              <w:jc w:val="center"/>
            </w:pPr>
            <w:r>
              <w:drawing>
                <wp:inline xmlns:a="http://schemas.openxmlformats.org/drawingml/2006/main" xmlns:pic="http://schemas.openxmlformats.org/drawingml/2006/picture">
                  <wp:extent cx="2697480" cy="1843959"/>
                  <wp:docPr id="14" name="Picture 14"/>
                  <wp:cNvGraphicFramePr>
                    <a:graphicFrameLocks noChangeAspect="1"/>
                  </wp:cNvGraphicFramePr>
                  <a:graphic>
                    <a:graphicData uri="http://schemas.openxmlformats.org/drawingml/2006/picture">
                      <pic:pic>
                        <pic:nvPicPr>
                          <pic:cNvPr id="0" name="Fig19_Stress_Strain.png"/>
                          <pic:cNvPicPr/>
                        </pic:nvPicPr>
                        <pic:blipFill>
                          <a:blip r:embed="rId22"/>
                          <a:stretch>
                            <a:fillRect/>
                          </a:stretch>
                        </pic:blipFill>
                        <pic:spPr>
                          <a:xfrm>
                            <a:off x="0" y="0"/>
                            <a:ext cx="2697480" cy="1843959"/>
                          </a:xfrm>
                          <a:prstGeom prst="rect"/>
                        </pic:spPr>
                      </pic:pic>
                    </a:graphicData>
                  </a:graphic>
                </wp:inline>
              </w:drawing>
            </w:r>
          </w:p>
          <w:p>
            <w:pPr>
              <w:spacing w:after="40"/>
              <w:jc w:val="center"/>
            </w:pPr>
            <w:r>
              <w:rPr>
                <w:rFonts w:ascii="Times New Roman" w:hAnsi="Times New Roman"/>
                <w:b w:val="0"/>
                <w:i/>
                <w:color w:val="555555"/>
                <w:sz w:val="17"/>
              </w:rPr>
              <w:t>(a) Stress–strain response</w:t>
            </w:r>
          </w:p>
        </w:tc>
        <w:tc>
          <w:tcPr>
            <w:tcW w:type="dxa" w:w="4464"/>
          </w:tcPr>
          <w:p>
            <w:pPr>
              <w:spacing w:after="40"/>
              <w:jc w:val="center"/>
            </w:pPr>
            <w:r>
              <w:drawing>
                <wp:inline xmlns:a="http://schemas.openxmlformats.org/drawingml/2006/main" xmlns:pic="http://schemas.openxmlformats.org/drawingml/2006/picture">
                  <wp:extent cx="2697480" cy="1977836"/>
                  <wp:docPr id="15" name="Picture 15"/>
                  <wp:cNvGraphicFramePr>
                    <a:graphicFrameLocks noChangeAspect="1"/>
                  </wp:cNvGraphicFramePr>
                  <a:graphic>
                    <a:graphicData uri="http://schemas.openxmlformats.org/drawingml/2006/picture">
                      <pic:pic>
                        <pic:nvPicPr>
                          <pic:cNvPr id="0" name="Fig17_UCT_Strength.png"/>
                          <pic:cNvPicPr/>
                        </pic:nvPicPr>
                        <pic:blipFill>
                          <a:blip r:embed="rId23"/>
                          <a:stretch>
                            <a:fillRect/>
                          </a:stretch>
                        </pic:blipFill>
                        <pic:spPr>
                          <a:xfrm>
                            <a:off x="0" y="0"/>
                            <a:ext cx="2697480" cy="1977836"/>
                          </a:xfrm>
                          <a:prstGeom prst="rect"/>
                        </pic:spPr>
                      </pic:pic>
                    </a:graphicData>
                  </a:graphic>
                </wp:inline>
              </w:drawing>
            </w:r>
          </w:p>
          <w:p>
            <w:pPr>
              <w:spacing w:after="40"/>
              <w:jc w:val="center"/>
            </w:pPr>
            <w:r>
              <w:rPr>
                <w:rFonts w:ascii="Times New Roman" w:hAnsi="Times New Roman"/>
                <w:b w:val="0"/>
                <w:i/>
                <w:color w:val="555555"/>
                <w:sz w:val="17"/>
              </w:rPr>
              <w:t>(b) Compressive strength</w:t>
            </w:r>
          </w:p>
        </w:tc>
      </w:tr>
    </w:tbl>
    <w:p>
      <w:pPr>
        <w:spacing w:line="240" w:lineRule="auto" w:after="280"/>
        <w:jc w:val="center"/>
      </w:pPr>
      <w:r>
        <w:rPr>
          <w:rFonts w:ascii="Times New Roman" w:hAnsi="Times New Roman"/>
          <w:b/>
          <w:sz w:val="19"/>
        </w:rPr>
        <w:t xml:space="preserve">Fig. 7. </w:t>
      </w:r>
      <w:r>
        <w:rPr>
          <w:rFonts w:ascii="Times New Roman" w:hAnsi="Times New Roman"/>
          <w:sz w:val="19"/>
        </w:rPr>
        <w:t>Mechanical behaviour: (a) stress–strain curves and (b) mean unconfined compressive strength of panels S2–S4 (error bars = ± 1 SD).</w:t>
      </w:r>
    </w:p>
    <w:p>
      <w:pPr>
        <w:keepNext/>
        <w:spacing w:line="360" w:lineRule="auto" w:before="280" w:after="120"/>
      </w:pPr>
      <w:r>
        <w:rPr>
          <w:rFonts w:ascii="Times New Roman" w:hAnsi="Times New Roman"/>
          <w:b/>
          <w:color w:val="000000"/>
          <w:sz w:val="24"/>
        </w:rPr>
        <w:t>3.4.  Thermal conductivity</w:t>
      </w:r>
    </w:p>
    <w:p>
      <w:pPr>
        <w:spacing w:lineRule="auto" w:line="360" w:before="0" w:after="160"/>
        <w:jc w:val="both"/>
      </w:pPr>
      <w:r>
        <w:rPr>
          <w:rFonts w:ascii="Times New Roman" w:hAnsi="Times New Roman"/>
          <w:b w:val="0"/>
          <w:i w:val="0"/>
          <w:sz w:val="22"/>
        </w:rPr>
        <w:t>The fine binder-less panel S2 (k = 0.0577 W m⁻¹ K⁻¹) and the 90:10 panel S3 (k = 0.0608 W m⁻¹ K⁻¹) both fall below the 0.065 W m⁻¹ K⁻¹ insulation-grade threshold of ASTM C168 and therefore qualify as insulation-grade materials (Table 3, Fig. 9). The high-starch panel S4 exhibited a three-fold higher conductivity (0.1846 W m⁻¹ K⁻¹), placing it outside the insulation grade. This is attributed to the dense, continuous starch matrix that fills the air voids responsible for insulation, compounded by its very high moisture content (41.18 %); because water conducts heat roughly 23 times better than air, moisture-filled pores sharply raise the effective conductivity — the same moisture-driven degradation reported for fibrous insulants by Jeon et al. (2017). All Syx values were below 2.0, confirming acceptable measurement quality; representative KD2 Pro TR-3 probe readings recorded for the three panels are shown in Fig. 8. The S2 and S3 values are competitive with the 0.047–0.065 W m⁻¹ K⁻¹ range reported by Salas-Ruiz et al. (2019) and approach conventional glass wool (≈ 0.034 W m⁻¹ K⁻¹).</w:t>
      </w:r>
    </w:p>
    <w:p>
      <w:pPr>
        <w:spacing w:line="240" w:lineRule="auto" w:before="200" w:after="60"/>
      </w:pPr>
      <w:r>
        <w:rPr>
          <w:rFonts w:ascii="Times New Roman" w:hAnsi="Times New Roman"/>
          <w:b/>
          <w:sz w:val="19"/>
        </w:rPr>
        <w:t>Table 3</w:t>
      </w:r>
    </w:p>
    <w:p>
      <w:pPr>
        <w:spacing w:line="240" w:lineRule="auto" w:after="80"/>
      </w:pPr>
      <w:r>
        <w:rPr>
          <w:rFonts w:ascii="Times New Roman" w:hAnsi="Times New Roman"/>
          <w:i/>
          <w:sz w:val="19"/>
        </w:rPr>
        <w:t>Thermal conductivity of the bio-composite panels (KD2 Pro TR-3, ASTM D5334; mean of n = 3). S1 was not tested (fractured on demoulding).</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296"/>
            <w:shd w:val="clear" w:color="auto" w:fill="D9D9D9"/>
            <w:vAlign w:val="center"/>
          </w:tcPr>
          <w:p>
            <w:pPr>
              <w:spacing w:line="240" w:lineRule="auto" w:after="40" w:before="40"/>
              <w:jc w:val="center"/>
            </w:pPr>
            <w:r>
              <w:rPr>
                <w:rFonts w:ascii="Times New Roman" w:hAnsi="Times New Roman"/>
                <w:b/>
                <w:sz w:val="19"/>
              </w:rPr>
              <w:t>Sample</w:t>
            </w:r>
          </w:p>
        </w:tc>
        <w:tc>
          <w:tcPr>
            <w:tcW w:type="dxa" w:w="2592"/>
            <w:shd w:val="clear" w:color="auto" w:fill="D9D9D9"/>
            <w:vAlign w:val="center"/>
          </w:tcPr>
          <w:p>
            <w:pPr>
              <w:spacing w:line="240" w:lineRule="auto" w:after="40" w:before="40"/>
              <w:jc w:val="center"/>
            </w:pPr>
            <w:r>
              <w:rPr>
                <w:rFonts w:ascii="Times New Roman" w:hAnsi="Times New Roman"/>
                <w:b/>
                <w:sz w:val="19"/>
              </w:rPr>
              <w:t>k (W m⁻¹ K⁻¹)</w:t>
            </w:r>
          </w:p>
        </w:tc>
        <w:tc>
          <w:tcPr>
            <w:tcW w:type="dxa" w:w="1440"/>
            <w:shd w:val="clear" w:color="auto" w:fill="D9D9D9"/>
            <w:vAlign w:val="center"/>
          </w:tcPr>
          <w:p>
            <w:pPr>
              <w:spacing w:line="240" w:lineRule="auto" w:after="40" w:before="40"/>
              <w:jc w:val="center"/>
            </w:pPr>
            <w:r>
              <w:rPr>
                <w:rFonts w:ascii="Times New Roman" w:hAnsi="Times New Roman"/>
                <w:b/>
                <w:sz w:val="19"/>
              </w:rPr>
              <w:t>Syx</w:t>
            </w:r>
          </w:p>
        </w:tc>
        <w:tc>
          <w:tcPr>
            <w:tcW w:type="dxa" w:w="3744"/>
            <w:shd w:val="clear" w:color="auto" w:fill="D9D9D9"/>
            <w:vAlign w:val="center"/>
          </w:tcPr>
          <w:p>
            <w:pPr>
              <w:spacing w:line="240" w:lineRule="auto" w:after="40" w:before="40"/>
              <w:jc w:val="center"/>
            </w:pPr>
            <w:r>
              <w:rPr>
                <w:rFonts w:ascii="Times New Roman" w:hAnsi="Times New Roman"/>
                <w:b/>
                <w:sz w:val="19"/>
              </w:rPr>
              <w:t>Classification</w:t>
            </w:r>
          </w:p>
        </w:tc>
      </w:tr>
      <w:tr>
        <w:tc>
          <w:tcPr>
            <w:tcW w:type="dxa" w:w="1296"/>
            <w:vAlign w:val="center"/>
          </w:tcPr>
          <w:p>
            <w:pPr>
              <w:spacing w:line="240" w:lineRule="auto" w:after="40" w:before="40"/>
              <w:jc w:val="left"/>
            </w:pPr>
            <w:r>
              <w:rPr>
                <w:rFonts w:ascii="Times New Roman" w:hAnsi="Times New Roman"/>
                <w:sz w:val="19"/>
              </w:rPr>
              <w:t>S2</w:t>
            </w:r>
          </w:p>
        </w:tc>
        <w:tc>
          <w:tcPr>
            <w:tcW w:type="dxa" w:w="2592"/>
            <w:vAlign w:val="center"/>
            <w:shd w:val="clear" w:color="auto" w:fill="E2EFDA"/>
          </w:tcPr>
          <w:p>
            <w:pPr>
              <w:spacing w:line="240" w:lineRule="auto" w:after="40" w:before="40"/>
              <w:jc w:val="center"/>
            </w:pPr>
            <w:r>
              <w:rPr>
                <w:rFonts w:ascii="Times New Roman" w:hAnsi="Times New Roman"/>
                <w:sz w:val="19"/>
              </w:rPr>
              <w:t>0.0577</w:t>
            </w:r>
          </w:p>
        </w:tc>
        <w:tc>
          <w:tcPr>
            <w:tcW w:type="dxa" w:w="1440"/>
            <w:vAlign w:val="center"/>
          </w:tcPr>
          <w:p>
            <w:pPr>
              <w:spacing w:line="240" w:lineRule="auto" w:after="40" w:before="40"/>
              <w:jc w:val="center"/>
            </w:pPr>
            <w:r>
              <w:rPr>
                <w:rFonts w:ascii="Times New Roman" w:hAnsi="Times New Roman"/>
                <w:sz w:val="19"/>
              </w:rPr>
              <w:t>0.4388</w:t>
            </w:r>
          </w:p>
        </w:tc>
        <w:tc>
          <w:tcPr>
            <w:tcW w:type="dxa" w:w="3744"/>
            <w:vAlign w:val="center"/>
            <w:shd w:val="clear" w:color="auto" w:fill="E2EFDA"/>
          </w:tcPr>
          <w:p>
            <w:pPr>
              <w:spacing w:line="240" w:lineRule="auto" w:after="40" w:before="40"/>
              <w:jc w:val="center"/>
            </w:pPr>
            <w:r>
              <w:rPr>
                <w:rFonts w:ascii="Times New Roman" w:hAnsi="Times New Roman"/>
                <w:sz w:val="19"/>
              </w:rPr>
              <w:t>Insulation grade (k &lt; 0.065)</w:t>
            </w:r>
          </w:p>
        </w:tc>
      </w:tr>
      <w:tr>
        <w:tc>
          <w:tcPr>
            <w:tcW w:type="dxa" w:w="1296"/>
            <w:vAlign w:val="center"/>
          </w:tcPr>
          <w:p>
            <w:pPr>
              <w:spacing w:line="240" w:lineRule="auto" w:after="40" w:before="40"/>
              <w:jc w:val="left"/>
            </w:pPr>
            <w:r>
              <w:rPr>
                <w:rFonts w:ascii="Times New Roman" w:hAnsi="Times New Roman"/>
                <w:sz w:val="19"/>
              </w:rPr>
              <w:t>S3</w:t>
            </w:r>
          </w:p>
        </w:tc>
        <w:tc>
          <w:tcPr>
            <w:tcW w:type="dxa" w:w="2592"/>
            <w:vAlign w:val="center"/>
            <w:shd w:val="clear" w:color="auto" w:fill="E2EFDA"/>
          </w:tcPr>
          <w:p>
            <w:pPr>
              <w:spacing w:line="240" w:lineRule="auto" w:after="40" w:before="40"/>
              <w:jc w:val="center"/>
            </w:pPr>
            <w:r>
              <w:rPr>
                <w:rFonts w:ascii="Times New Roman" w:hAnsi="Times New Roman"/>
                <w:sz w:val="19"/>
              </w:rPr>
              <w:t>0.0608</w:t>
            </w:r>
          </w:p>
        </w:tc>
        <w:tc>
          <w:tcPr>
            <w:tcW w:type="dxa" w:w="1440"/>
            <w:vAlign w:val="center"/>
          </w:tcPr>
          <w:p>
            <w:pPr>
              <w:spacing w:line="240" w:lineRule="auto" w:after="40" w:before="40"/>
              <w:jc w:val="center"/>
            </w:pPr>
            <w:r>
              <w:rPr>
                <w:rFonts w:ascii="Times New Roman" w:hAnsi="Times New Roman"/>
                <w:sz w:val="19"/>
              </w:rPr>
              <w:t>0.3171</w:t>
            </w:r>
          </w:p>
        </w:tc>
        <w:tc>
          <w:tcPr>
            <w:tcW w:type="dxa" w:w="3744"/>
            <w:vAlign w:val="center"/>
            <w:shd w:val="clear" w:color="auto" w:fill="E2EFDA"/>
          </w:tcPr>
          <w:p>
            <w:pPr>
              <w:spacing w:line="240" w:lineRule="auto" w:after="40" w:before="40"/>
              <w:jc w:val="center"/>
            </w:pPr>
            <w:r>
              <w:rPr>
                <w:rFonts w:ascii="Times New Roman" w:hAnsi="Times New Roman"/>
                <w:sz w:val="19"/>
              </w:rPr>
              <w:t>Insulation grade (k &lt; 0.065)</w:t>
            </w:r>
          </w:p>
        </w:tc>
      </w:tr>
      <w:tr>
        <w:tc>
          <w:tcPr>
            <w:tcW w:type="dxa" w:w="1296"/>
            <w:vAlign w:val="center"/>
          </w:tcPr>
          <w:p>
            <w:pPr>
              <w:spacing w:line="240" w:lineRule="auto" w:after="40" w:before="40"/>
              <w:jc w:val="left"/>
            </w:pPr>
            <w:r>
              <w:rPr>
                <w:rFonts w:ascii="Times New Roman" w:hAnsi="Times New Roman"/>
                <w:sz w:val="19"/>
              </w:rPr>
              <w:t>S4</w:t>
            </w:r>
          </w:p>
        </w:tc>
        <w:tc>
          <w:tcPr>
            <w:tcW w:type="dxa" w:w="2592"/>
            <w:vAlign w:val="center"/>
          </w:tcPr>
          <w:p>
            <w:pPr>
              <w:spacing w:line="240" w:lineRule="auto" w:after="40" w:before="40"/>
              <w:jc w:val="center"/>
            </w:pPr>
            <w:r>
              <w:rPr>
                <w:rFonts w:ascii="Times New Roman" w:hAnsi="Times New Roman"/>
                <w:sz w:val="19"/>
              </w:rPr>
              <w:t>0.1846</w:t>
            </w:r>
          </w:p>
        </w:tc>
        <w:tc>
          <w:tcPr>
            <w:tcW w:type="dxa" w:w="1440"/>
            <w:vAlign w:val="center"/>
          </w:tcPr>
          <w:p>
            <w:pPr>
              <w:spacing w:line="240" w:lineRule="auto" w:after="40" w:before="40"/>
              <w:jc w:val="center"/>
            </w:pPr>
            <w:r>
              <w:rPr>
                <w:rFonts w:ascii="Times New Roman" w:hAnsi="Times New Roman"/>
                <w:sz w:val="19"/>
              </w:rPr>
              <w:t>1.2143</w:t>
            </w:r>
          </w:p>
        </w:tc>
        <w:tc>
          <w:tcPr>
            <w:tcW w:type="dxa" w:w="3744"/>
            <w:vAlign w:val="center"/>
          </w:tcPr>
          <w:p>
            <w:pPr>
              <w:spacing w:line="240" w:lineRule="auto" w:after="40" w:before="40"/>
              <w:jc w:val="center"/>
            </w:pPr>
            <w:r>
              <w:rPr>
                <w:rFonts w:ascii="Times New Roman" w:hAnsi="Times New Roman"/>
                <w:sz w:val="19"/>
              </w:rPr>
              <w:t>Non-insulation grade</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3137"/>
        <w:gridCol w:w="3137"/>
        <w:gridCol w:w="3137"/>
      </w:tblGrid>
      <w:tr>
        <w:tc>
          <w:tcPr>
            <w:tcW w:type="dxa" w:w="2880"/>
          </w:tcPr>
          <w:p>
            <w:pPr>
              <w:spacing w:after="40"/>
              <w:jc w:val="center"/>
            </w:pPr>
            <w:r>
              <w:drawing>
                <wp:inline xmlns:a="http://schemas.openxmlformats.org/drawingml/2006/main" xmlns:pic="http://schemas.openxmlformats.org/drawingml/2006/picture">
                  <wp:extent cx="1691640" cy="1268730"/>
                  <wp:docPr id="16" name="Picture 16"/>
                  <wp:cNvGraphicFramePr>
                    <a:graphicFrameLocks noChangeAspect="1"/>
                  </wp:cNvGraphicFramePr>
                  <a:graphic>
                    <a:graphicData uri="http://schemas.openxmlformats.org/drawingml/2006/picture">
                      <pic:pic>
                        <pic:nvPicPr>
                          <pic:cNvPr id="0" name="thermal_test_nobinder.jpg"/>
                          <pic:cNvPicPr/>
                        </pic:nvPicPr>
                        <pic:blipFill>
                          <a:blip r:embed="rId24"/>
                          <a:stretch>
                            <a:fillRect/>
                          </a:stretch>
                        </pic:blipFill>
                        <pic:spPr>
                          <a:xfrm>
                            <a:off x="0" y="0"/>
                            <a:ext cx="1691640" cy="1268730"/>
                          </a:xfrm>
                          <a:prstGeom prst="rect"/>
                        </pic:spPr>
                      </pic:pic>
                    </a:graphicData>
                  </a:graphic>
                </wp:inline>
              </w:drawing>
            </w:r>
          </w:p>
          <w:p>
            <w:pPr>
              <w:spacing w:after="40"/>
              <w:jc w:val="center"/>
            </w:pPr>
            <w:r>
              <w:rPr>
                <w:rFonts w:ascii="Times New Roman" w:hAnsi="Times New Roman"/>
                <w:b w:val="0"/>
                <w:i/>
                <w:color w:val="555555"/>
                <w:sz w:val="17"/>
              </w:rPr>
              <w:t>(a) S2 (no binder)</w:t>
            </w:r>
          </w:p>
        </w:tc>
        <w:tc>
          <w:tcPr>
            <w:tcW w:type="dxa" w:w="2880"/>
          </w:tcPr>
          <w:p>
            <w:pPr>
              <w:spacing w:after="40"/>
              <w:jc w:val="center"/>
            </w:pPr>
            <w:r>
              <w:drawing>
                <wp:inline xmlns:a="http://schemas.openxmlformats.org/drawingml/2006/main" xmlns:pic="http://schemas.openxmlformats.org/drawingml/2006/picture">
                  <wp:extent cx="1691640" cy="1268730"/>
                  <wp:docPr id="17" name="Picture 17"/>
                  <wp:cNvGraphicFramePr>
                    <a:graphicFrameLocks noChangeAspect="1"/>
                  </wp:cNvGraphicFramePr>
                  <a:graphic>
                    <a:graphicData uri="http://schemas.openxmlformats.org/drawingml/2006/picture">
                      <pic:pic>
                        <pic:nvPicPr>
                          <pic:cNvPr id="0" name="thermal_test_9010.jpg"/>
                          <pic:cNvPicPr/>
                        </pic:nvPicPr>
                        <pic:blipFill>
                          <a:blip r:embed="rId25"/>
                          <a:stretch>
                            <a:fillRect/>
                          </a:stretch>
                        </pic:blipFill>
                        <pic:spPr>
                          <a:xfrm>
                            <a:off x="0" y="0"/>
                            <a:ext cx="1691640" cy="1268730"/>
                          </a:xfrm>
                          <a:prstGeom prst="rect"/>
                        </pic:spPr>
                      </pic:pic>
                    </a:graphicData>
                  </a:graphic>
                </wp:inline>
              </w:drawing>
            </w:r>
          </w:p>
          <w:p>
            <w:pPr>
              <w:spacing w:after="40"/>
              <w:jc w:val="center"/>
            </w:pPr>
            <w:r>
              <w:rPr>
                <w:rFonts w:ascii="Times New Roman" w:hAnsi="Times New Roman"/>
                <w:b w:val="0"/>
                <w:i/>
                <w:color w:val="555555"/>
                <w:sz w:val="17"/>
              </w:rPr>
              <w:t>(b) S3 (90:10)</w:t>
            </w:r>
          </w:p>
        </w:tc>
        <w:tc>
          <w:tcPr>
            <w:tcW w:type="dxa" w:w="2880"/>
          </w:tcPr>
          <w:p>
            <w:pPr>
              <w:spacing w:after="40"/>
              <w:jc w:val="center"/>
            </w:pPr>
            <w:r>
              <w:drawing>
                <wp:inline xmlns:a="http://schemas.openxmlformats.org/drawingml/2006/main" xmlns:pic="http://schemas.openxmlformats.org/drawingml/2006/picture">
                  <wp:extent cx="1691640" cy="1268730"/>
                  <wp:docPr id="18" name="Picture 18"/>
                  <wp:cNvGraphicFramePr>
                    <a:graphicFrameLocks noChangeAspect="1"/>
                  </wp:cNvGraphicFramePr>
                  <a:graphic>
                    <a:graphicData uri="http://schemas.openxmlformats.org/drawingml/2006/picture">
                      <pic:pic>
                        <pic:nvPicPr>
                          <pic:cNvPr id="0" name="thermal_test_7030.jpg"/>
                          <pic:cNvPicPr/>
                        </pic:nvPicPr>
                        <pic:blipFill>
                          <a:blip r:embed="rId26"/>
                          <a:stretch>
                            <a:fillRect/>
                          </a:stretch>
                        </pic:blipFill>
                        <pic:spPr>
                          <a:xfrm>
                            <a:off x="0" y="0"/>
                            <a:ext cx="1691640" cy="1268730"/>
                          </a:xfrm>
                          <a:prstGeom prst="rect"/>
                        </pic:spPr>
                      </pic:pic>
                    </a:graphicData>
                  </a:graphic>
                </wp:inline>
              </w:drawing>
            </w:r>
          </w:p>
          <w:p>
            <w:pPr>
              <w:spacing w:after="40"/>
              <w:jc w:val="center"/>
            </w:pPr>
            <w:r>
              <w:rPr>
                <w:rFonts w:ascii="Times New Roman" w:hAnsi="Times New Roman"/>
                <w:b w:val="0"/>
                <w:i/>
                <w:color w:val="555555"/>
                <w:sz w:val="17"/>
              </w:rPr>
              <w:t>(c) S4 (70:30)</w:t>
            </w:r>
          </w:p>
        </w:tc>
      </w:tr>
    </w:tbl>
    <w:p>
      <w:pPr>
        <w:spacing w:line="240" w:lineRule="auto" w:after="280"/>
        <w:jc w:val="center"/>
      </w:pPr>
      <w:r>
        <w:rPr>
          <w:rFonts w:ascii="Times New Roman" w:hAnsi="Times New Roman"/>
          <w:b/>
          <w:sz w:val="19"/>
        </w:rPr>
        <w:t xml:space="preserve">Fig. 8. </w:t>
      </w:r>
      <w:r>
        <w:rPr>
          <w:rFonts w:ascii="Times New Roman" w:hAnsi="Times New Roman"/>
          <w:sz w:val="19"/>
        </w:rPr>
        <w:t>Thermal conductivity test readings from the KD2 Pro TR-3 probe for (a) S2, (b) S3 and (c) S4.</w:t>
      </w:r>
    </w:p>
    <w:p>
      <w:pPr>
        <w:spacing w:before="160" w:after="40"/>
        <w:jc w:val="center"/>
      </w:pPr>
      <w:r>
        <w:drawing>
          <wp:inline xmlns:a="http://schemas.openxmlformats.org/drawingml/2006/main" xmlns:pic="http://schemas.openxmlformats.org/drawingml/2006/picture">
            <wp:extent cx="4206240" cy="3089506"/>
            <wp:docPr id="19" name="Picture 19"/>
            <wp:cNvGraphicFramePr>
              <a:graphicFrameLocks noChangeAspect="1"/>
            </wp:cNvGraphicFramePr>
            <a:graphic>
              <a:graphicData uri="http://schemas.openxmlformats.org/drawingml/2006/picture">
                <pic:pic>
                  <pic:nvPicPr>
                    <pic:cNvPr id="0" name="Fig18_Thermal_Conductivity.png"/>
                    <pic:cNvPicPr/>
                  </pic:nvPicPr>
                  <pic:blipFill>
                    <a:blip r:embed="rId27"/>
                    <a:stretch>
                      <a:fillRect/>
                    </a:stretch>
                  </pic:blipFill>
                  <pic:spPr>
                    <a:xfrm>
                      <a:off x="0" y="0"/>
                      <a:ext cx="4206240" cy="3089506"/>
                    </a:xfrm>
                    <a:prstGeom prst="rect"/>
                  </pic:spPr>
                </pic:pic>
              </a:graphicData>
            </a:graphic>
          </wp:inline>
        </w:drawing>
      </w:r>
    </w:p>
    <w:p>
      <w:pPr>
        <w:spacing w:line="240" w:lineRule="auto" w:after="280"/>
        <w:jc w:val="center"/>
      </w:pPr>
      <w:r>
        <w:rPr>
          <w:rFonts w:ascii="Times New Roman" w:hAnsi="Times New Roman"/>
          <w:b/>
          <w:sz w:val="19"/>
        </w:rPr>
        <w:t xml:space="preserve">Fig. 9. </w:t>
      </w:r>
      <w:r>
        <w:rPr>
          <w:rFonts w:ascii="Times New Roman" w:hAnsi="Times New Roman"/>
          <w:sz w:val="19"/>
        </w:rPr>
        <w:t>Mean thermal conductivity of the bio-composite panels relative to the ASTM C168 insulation threshold (error bars = ± 1 SD; S1 excluded).</w:t>
      </w:r>
    </w:p>
    <w:p>
      <w:pPr>
        <w:keepNext/>
        <w:spacing w:line="360" w:lineRule="auto" w:before="280" w:after="120"/>
      </w:pPr>
      <w:r>
        <w:rPr>
          <w:rFonts w:ascii="Times New Roman" w:hAnsi="Times New Roman"/>
          <w:b/>
          <w:color w:val="000000"/>
          <w:sz w:val="24"/>
        </w:rPr>
        <w:t>3.5.  Optimal formulation and comparison with reported materials</w:t>
      </w:r>
    </w:p>
    <w:p>
      <w:pPr>
        <w:spacing w:lineRule="auto" w:line="360" w:before="0" w:after="160"/>
        <w:jc w:val="both"/>
      </w:pPr>
      <w:r>
        <w:rPr>
          <w:rFonts w:ascii="Times New Roman" w:hAnsi="Times New Roman"/>
          <w:b w:val="0"/>
          <w:i w:val="0"/>
          <w:sz w:val="22"/>
        </w:rPr>
        <w:t>Considering the combined requirements of insulation-grade thermal conductivity and adequate mechanical strength, the 90:10 biomass:starch panel (S3) emerges as the best-balanced formulation: it delivers the highest compressive strength (186.0 kPa) while remaining insulation-grade (0.0608 W m⁻¹ K⁻¹). The fine binder-less panel S2 is also insulation-grade but only half as strong, while the high-starch panel S4 offers the best water resistance but fails on both thermal and mechanical criteria. Thus 10 wt% corn starch represents the optimal binder content for this system. As summarised in Table 4, the conductivities of S2 and S3 are higher than those of optimised commercial insulants such as glass wool (≈ 0.034 W m⁻¹ K⁻¹) and EPS (0.035–0.040 W m⁻¹ K⁻¹) but fall within the same insulation-grade band, and are comparable to or better than several reported water-hyacinth composites such as the WH–cement composite of Philip and Rakendu (2022) and the WH–bagasse–epoxy composite of Anjani et al. (2023). Crucially, the present panels achieve this using only a biodegradable corn-starch binder, without any synthetic resin or cement, giving a clear advantage in biodegradability and embodied carbon.</w:t>
      </w:r>
    </w:p>
    <w:p>
      <w:pPr>
        <w:spacing w:line="240" w:lineRule="auto" w:before="200" w:after="60"/>
      </w:pPr>
      <w:r>
        <w:rPr>
          <w:rFonts w:ascii="Times New Roman" w:hAnsi="Times New Roman"/>
          <w:b/>
          <w:sz w:val="19"/>
        </w:rPr>
        <w:t>Table 4</w:t>
      </w:r>
    </w:p>
    <w:p>
      <w:pPr>
        <w:spacing w:line="240" w:lineRule="auto" w:after="80"/>
      </w:pPr>
      <w:r>
        <w:rPr>
          <w:rFonts w:ascii="Times New Roman" w:hAnsi="Times New Roman"/>
          <w:i/>
          <w:sz w:val="19"/>
        </w:rPr>
        <w:t>Comparison of the present bio-composites with conventional and reported insulation materials.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592"/>
            <w:shd w:val="clear" w:color="auto" w:fill="D9D9D9"/>
            <w:vAlign w:val="center"/>
          </w:tcPr>
          <w:p>
            <w:pPr>
              <w:spacing w:line="240" w:lineRule="auto" w:after="40" w:before="40"/>
              <w:jc w:val="center"/>
            </w:pPr>
            <w:r>
              <w:rPr>
                <w:rFonts w:ascii="Times New Roman" w:hAnsi="Times New Roman"/>
                <w:b/>
                <w:sz w:val="18"/>
              </w:rPr>
              <w:t>Material</w:t>
            </w:r>
          </w:p>
        </w:tc>
        <w:tc>
          <w:tcPr>
            <w:tcW w:type="dxa" w:w="1872"/>
            <w:shd w:val="clear" w:color="auto" w:fill="D9D9D9"/>
            <w:vAlign w:val="center"/>
          </w:tcPr>
          <w:p>
            <w:pPr>
              <w:spacing w:line="240" w:lineRule="auto" w:after="40" w:before="40"/>
              <w:jc w:val="center"/>
            </w:pPr>
            <w:r>
              <w:rPr>
                <w:rFonts w:ascii="Times New Roman" w:hAnsi="Times New Roman"/>
                <w:b/>
                <w:sz w:val="18"/>
              </w:rPr>
              <w:t>k (W m⁻¹ K⁻¹)</w:t>
            </w:r>
          </w:p>
        </w:tc>
        <w:tc>
          <w:tcPr>
            <w:tcW w:type="dxa" w:w="2736"/>
            <w:shd w:val="clear" w:color="auto" w:fill="D9D9D9"/>
            <w:vAlign w:val="center"/>
          </w:tcPr>
          <w:p>
            <w:pPr>
              <w:spacing w:line="240" w:lineRule="auto" w:after="40" w:before="40"/>
              <w:jc w:val="center"/>
            </w:pPr>
            <w:r>
              <w:rPr>
                <w:rFonts w:ascii="Times New Roman" w:hAnsi="Times New Roman"/>
                <w:b/>
                <w:sz w:val="18"/>
              </w:rPr>
              <w:t>Binder / matrix</w:t>
            </w:r>
          </w:p>
        </w:tc>
        <w:tc>
          <w:tcPr>
            <w:tcW w:type="dxa" w:w="2448"/>
            <w:shd w:val="clear" w:color="auto" w:fill="D9D9D9"/>
            <w:vAlign w:val="center"/>
          </w:tcPr>
          <w:p>
            <w:pPr>
              <w:spacing w:line="240" w:lineRule="auto" w:after="40" w:before="40"/>
              <w:jc w:val="center"/>
            </w:pPr>
            <w:r>
              <w:rPr>
                <w:rFonts w:ascii="Times New Roman" w:hAnsi="Times New Roman"/>
                <w:b/>
                <w:sz w:val="18"/>
              </w:rPr>
              <w:t>Reference</w:t>
            </w:r>
          </w:p>
        </w:tc>
      </w:tr>
      <w:tr>
        <w:tc>
          <w:tcPr>
            <w:tcW w:type="dxa" w:w="2592"/>
            <w:vAlign w:val="center"/>
          </w:tcPr>
          <w:p>
            <w:pPr>
              <w:spacing w:line="240" w:lineRule="auto" w:after="40" w:before="40"/>
              <w:jc w:val="left"/>
            </w:pPr>
            <w:r>
              <w:rPr>
                <w:rFonts w:ascii="Times New Roman" w:hAnsi="Times New Roman"/>
                <w:sz w:val="18"/>
              </w:rPr>
              <w:t>Glass wool</w:t>
            </w:r>
          </w:p>
        </w:tc>
        <w:tc>
          <w:tcPr>
            <w:tcW w:type="dxa" w:w="1872"/>
            <w:vAlign w:val="center"/>
          </w:tcPr>
          <w:p>
            <w:pPr>
              <w:spacing w:line="240" w:lineRule="auto" w:after="40" w:before="40"/>
              <w:jc w:val="center"/>
            </w:pPr>
            <w:r>
              <w:rPr>
                <w:rFonts w:ascii="Times New Roman" w:hAnsi="Times New Roman"/>
                <w:sz w:val="18"/>
              </w:rPr>
              <w:t>≈ 0.034</w:t>
            </w:r>
          </w:p>
        </w:tc>
        <w:tc>
          <w:tcPr>
            <w:tcW w:type="dxa" w:w="2736"/>
            <w:vAlign w:val="center"/>
          </w:tcPr>
          <w:p>
            <w:pPr>
              <w:spacing w:line="240" w:lineRule="auto" w:after="40" w:before="40"/>
              <w:jc w:val="center"/>
            </w:pPr>
            <w:r>
              <w:rPr>
                <w:rFonts w:ascii="Times New Roman" w:hAnsi="Times New Roman"/>
                <w:sz w:val="18"/>
              </w:rPr>
              <w:t>Inorganic (synthetic)</w:t>
            </w:r>
          </w:p>
        </w:tc>
        <w:tc>
          <w:tcPr>
            <w:tcW w:type="dxa" w:w="2448"/>
            <w:vAlign w:val="center"/>
          </w:tcPr>
          <w:p>
            <w:pPr>
              <w:spacing w:line="240" w:lineRule="auto" w:after="40" w:before="40"/>
              <w:jc w:val="center"/>
            </w:pPr>
            <w:r>
              <w:rPr>
                <w:rFonts w:ascii="Times New Roman" w:hAnsi="Times New Roman"/>
                <w:sz w:val="18"/>
              </w:rPr>
              <w:t>Jeon et al. (2017)</w:t>
            </w:r>
          </w:p>
        </w:tc>
      </w:tr>
      <w:tr>
        <w:tc>
          <w:tcPr>
            <w:tcW w:type="dxa" w:w="2592"/>
            <w:vAlign w:val="center"/>
          </w:tcPr>
          <w:p>
            <w:pPr>
              <w:spacing w:line="240" w:lineRule="auto" w:after="40" w:before="40"/>
              <w:jc w:val="left"/>
            </w:pPr>
            <w:r>
              <w:rPr>
                <w:rFonts w:ascii="Times New Roman" w:hAnsi="Times New Roman"/>
                <w:sz w:val="18"/>
              </w:rPr>
              <w:t>EPS foam</w:t>
            </w:r>
          </w:p>
        </w:tc>
        <w:tc>
          <w:tcPr>
            <w:tcW w:type="dxa" w:w="1872"/>
            <w:vAlign w:val="center"/>
          </w:tcPr>
          <w:p>
            <w:pPr>
              <w:spacing w:line="240" w:lineRule="auto" w:after="40" w:before="40"/>
              <w:jc w:val="center"/>
            </w:pPr>
            <w:r>
              <w:rPr>
                <w:rFonts w:ascii="Times New Roman" w:hAnsi="Times New Roman"/>
                <w:sz w:val="18"/>
              </w:rPr>
              <w:t>0.035–0.040</w:t>
            </w:r>
          </w:p>
        </w:tc>
        <w:tc>
          <w:tcPr>
            <w:tcW w:type="dxa" w:w="2736"/>
            <w:vAlign w:val="center"/>
          </w:tcPr>
          <w:p>
            <w:pPr>
              <w:spacing w:line="240" w:lineRule="auto" w:after="40" w:before="40"/>
              <w:jc w:val="center"/>
            </w:pPr>
            <w:r>
              <w:rPr>
                <w:rFonts w:ascii="Times New Roman" w:hAnsi="Times New Roman"/>
                <w:sz w:val="18"/>
              </w:rPr>
              <w:t>Polystyrene (synthetic)</w:t>
            </w:r>
          </w:p>
        </w:tc>
        <w:tc>
          <w:tcPr>
            <w:tcW w:type="dxa" w:w="2448"/>
            <w:vAlign w:val="center"/>
          </w:tcPr>
          <w:p>
            <w:pPr>
              <w:spacing w:line="240" w:lineRule="auto" w:after="40" w:before="40"/>
              <w:jc w:val="center"/>
            </w:pPr>
            <w:r>
              <w:rPr>
                <w:rFonts w:ascii="Times New Roman" w:hAnsi="Times New Roman"/>
                <w:sz w:val="18"/>
              </w:rPr>
              <w:t>Typical</w:t>
            </w:r>
          </w:p>
        </w:tc>
      </w:tr>
      <w:tr>
        <w:tc>
          <w:tcPr>
            <w:tcW w:type="dxa" w:w="2592"/>
            <w:vAlign w:val="center"/>
          </w:tcPr>
          <w:p>
            <w:pPr>
              <w:spacing w:line="240" w:lineRule="auto" w:after="40" w:before="40"/>
              <w:jc w:val="left"/>
            </w:pPr>
            <w:r>
              <w:rPr>
                <w:rFonts w:ascii="Times New Roman" w:hAnsi="Times New Roman"/>
                <w:sz w:val="18"/>
              </w:rPr>
              <w:t>WH binder-less board</w:t>
            </w:r>
          </w:p>
        </w:tc>
        <w:tc>
          <w:tcPr>
            <w:tcW w:type="dxa" w:w="1872"/>
            <w:vAlign w:val="center"/>
          </w:tcPr>
          <w:p>
            <w:pPr>
              <w:spacing w:line="240" w:lineRule="auto" w:after="40" w:before="40"/>
              <w:jc w:val="center"/>
            </w:pPr>
            <w:r>
              <w:rPr>
                <w:rFonts w:ascii="Times New Roman" w:hAnsi="Times New Roman"/>
                <w:sz w:val="18"/>
              </w:rPr>
              <w:t>0.047–0.065</w:t>
            </w:r>
          </w:p>
        </w:tc>
        <w:tc>
          <w:tcPr>
            <w:tcW w:type="dxa" w:w="2736"/>
            <w:vAlign w:val="center"/>
          </w:tcPr>
          <w:p>
            <w:pPr>
              <w:spacing w:line="240" w:lineRule="auto" w:after="40" w:before="40"/>
              <w:jc w:val="center"/>
            </w:pPr>
            <w:r>
              <w:rPr>
                <w:rFonts w:ascii="Times New Roman" w:hAnsi="Times New Roman"/>
                <w:sz w:val="18"/>
              </w:rPr>
              <w:t>None</w:t>
            </w:r>
          </w:p>
        </w:tc>
        <w:tc>
          <w:tcPr>
            <w:tcW w:type="dxa" w:w="2448"/>
            <w:vAlign w:val="center"/>
          </w:tcPr>
          <w:p>
            <w:pPr>
              <w:spacing w:line="240" w:lineRule="auto" w:after="40" w:before="40"/>
              <w:jc w:val="center"/>
            </w:pPr>
            <w:r>
              <w:rPr>
                <w:rFonts w:ascii="Times New Roman" w:hAnsi="Times New Roman"/>
                <w:sz w:val="18"/>
              </w:rPr>
              <w:t>Salas-Ruiz et al. (2019)</w:t>
            </w:r>
          </w:p>
        </w:tc>
      </w:tr>
      <w:tr>
        <w:tc>
          <w:tcPr>
            <w:tcW w:type="dxa" w:w="2592"/>
            <w:vAlign w:val="center"/>
          </w:tcPr>
          <w:p>
            <w:pPr>
              <w:spacing w:line="240" w:lineRule="auto" w:after="40" w:before="40"/>
              <w:jc w:val="left"/>
            </w:pPr>
            <w:r>
              <w:rPr>
                <w:rFonts w:ascii="Times New Roman" w:hAnsi="Times New Roman"/>
                <w:sz w:val="18"/>
              </w:rPr>
              <w:t>WH–cement composite</w:t>
            </w:r>
          </w:p>
        </w:tc>
        <w:tc>
          <w:tcPr>
            <w:tcW w:type="dxa" w:w="1872"/>
            <w:vAlign w:val="center"/>
          </w:tcPr>
          <w:p>
            <w:pPr>
              <w:spacing w:line="240" w:lineRule="auto" w:after="40" w:before="40"/>
              <w:jc w:val="center"/>
            </w:pPr>
            <w:r>
              <w:rPr>
                <w:rFonts w:ascii="Times New Roman" w:hAnsi="Times New Roman"/>
                <w:sz w:val="18"/>
              </w:rPr>
              <w:t>0.0765</w:t>
            </w:r>
          </w:p>
        </w:tc>
        <w:tc>
          <w:tcPr>
            <w:tcW w:type="dxa" w:w="2736"/>
            <w:vAlign w:val="center"/>
          </w:tcPr>
          <w:p>
            <w:pPr>
              <w:spacing w:line="240" w:lineRule="auto" w:after="40" w:before="40"/>
              <w:jc w:val="center"/>
            </w:pPr>
            <w:r>
              <w:rPr>
                <w:rFonts w:ascii="Times New Roman" w:hAnsi="Times New Roman"/>
                <w:sz w:val="18"/>
              </w:rPr>
              <w:t>Cement</w:t>
            </w:r>
          </w:p>
        </w:tc>
        <w:tc>
          <w:tcPr>
            <w:tcW w:type="dxa" w:w="2448"/>
            <w:vAlign w:val="center"/>
          </w:tcPr>
          <w:p>
            <w:pPr>
              <w:spacing w:line="240" w:lineRule="auto" w:after="40" w:before="40"/>
              <w:jc w:val="center"/>
            </w:pPr>
            <w:r>
              <w:rPr>
                <w:rFonts w:ascii="Times New Roman" w:hAnsi="Times New Roman"/>
                <w:sz w:val="18"/>
              </w:rPr>
              <w:t>Philip and Rakendu (2022)</w:t>
            </w:r>
          </w:p>
        </w:tc>
      </w:tr>
      <w:tr>
        <w:tc>
          <w:tcPr>
            <w:tcW w:type="dxa" w:w="2592"/>
            <w:vAlign w:val="center"/>
          </w:tcPr>
          <w:p>
            <w:pPr>
              <w:spacing w:line="240" w:lineRule="auto" w:after="40" w:before="40"/>
              <w:jc w:val="left"/>
            </w:pPr>
            <w:r>
              <w:rPr>
                <w:rFonts w:ascii="Times New Roman" w:hAnsi="Times New Roman"/>
                <w:sz w:val="18"/>
              </w:rPr>
              <w:t>WH–bagasse–epoxy</w:t>
            </w:r>
          </w:p>
        </w:tc>
        <w:tc>
          <w:tcPr>
            <w:tcW w:type="dxa" w:w="1872"/>
            <w:vAlign w:val="center"/>
          </w:tcPr>
          <w:p>
            <w:pPr>
              <w:spacing w:line="240" w:lineRule="auto" w:after="40" w:before="40"/>
              <w:jc w:val="center"/>
            </w:pPr>
            <w:r>
              <w:rPr>
                <w:rFonts w:ascii="Times New Roman" w:hAnsi="Times New Roman"/>
                <w:sz w:val="18"/>
              </w:rPr>
              <w:t>0.1987</w:t>
            </w:r>
          </w:p>
        </w:tc>
        <w:tc>
          <w:tcPr>
            <w:tcW w:type="dxa" w:w="2736"/>
            <w:vAlign w:val="center"/>
          </w:tcPr>
          <w:p>
            <w:pPr>
              <w:spacing w:line="240" w:lineRule="auto" w:after="40" w:before="40"/>
              <w:jc w:val="center"/>
            </w:pPr>
            <w:r>
              <w:rPr>
                <w:rFonts w:ascii="Times New Roman" w:hAnsi="Times New Roman"/>
                <w:sz w:val="18"/>
              </w:rPr>
              <w:t>Epoxy (synthetic)</w:t>
            </w:r>
          </w:p>
        </w:tc>
        <w:tc>
          <w:tcPr>
            <w:tcW w:type="dxa" w:w="2448"/>
            <w:vAlign w:val="center"/>
          </w:tcPr>
          <w:p>
            <w:pPr>
              <w:spacing w:line="240" w:lineRule="auto" w:after="40" w:before="40"/>
              <w:jc w:val="center"/>
            </w:pPr>
            <w:r>
              <w:rPr>
                <w:rFonts w:ascii="Times New Roman" w:hAnsi="Times New Roman"/>
                <w:sz w:val="18"/>
              </w:rPr>
              <w:t>Anjani et al. (2023)</w:t>
            </w:r>
          </w:p>
        </w:tc>
      </w:tr>
      <w:tr>
        <w:tc>
          <w:tcPr>
            <w:tcW w:type="dxa" w:w="2592"/>
            <w:vAlign w:val="center"/>
            <w:shd w:val="clear" w:color="auto" w:fill="E2EFDA"/>
          </w:tcPr>
          <w:p>
            <w:pPr>
              <w:spacing w:line="240" w:lineRule="auto" w:after="40" w:before="40"/>
              <w:jc w:val="left"/>
            </w:pPr>
            <w:r>
              <w:rPr>
                <w:rFonts w:ascii="Times New Roman" w:hAnsi="Times New Roman"/>
                <w:sz w:val="18"/>
              </w:rPr>
              <w:t>S2 (this work)</w:t>
            </w:r>
          </w:p>
        </w:tc>
        <w:tc>
          <w:tcPr>
            <w:tcW w:type="dxa" w:w="1872"/>
            <w:vAlign w:val="center"/>
            <w:shd w:val="clear" w:color="auto" w:fill="E2EFDA"/>
          </w:tcPr>
          <w:p>
            <w:pPr>
              <w:spacing w:line="240" w:lineRule="auto" w:after="40" w:before="40"/>
              <w:jc w:val="center"/>
            </w:pPr>
            <w:r>
              <w:rPr>
                <w:rFonts w:ascii="Times New Roman" w:hAnsi="Times New Roman"/>
                <w:sz w:val="18"/>
              </w:rPr>
              <w:t>0.0577</w:t>
            </w:r>
          </w:p>
        </w:tc>
        <w:tc>
          <w:tcPr>
            <w:tcW w:type="dxa" w:w="2736"/>
            <w:vAlign w:val="center"/>
          </w:tcPr>
          <w:p>
            <w:pPr>
              <w:spacing w:line="240" w:lineRule="auto" w:after="40" w:before="40"/>
              <w:jc w:val="center"/>
            </w:pPr>
            <w:r>
              <w:rPr>
                <w:rFonts w:ascii="Times New Roman" w:hAnsi="Times New Roman"/>
                <w:sz w:val="18"/>
              </w:rPr>
              <w:t>None (water only)</w:t>
            </w:r>
          </w:p>
        </w:tc>
        <w:tc>
          <w:tcPr>
            <w:tcW w:type="dxa" w:w="2448"/>
            <w:vAlign w:val="center"/>
          </w:tcPr>
          <w:p>
            <w:pPr>
              <w:spacing w:line="240" w:lineRule="auto" w:after="40" w:before="40"/>
              <w:jc w:val="center"/>
            </w:pPr>
            <w:r>
              <w:rPr>
                <w:rFonts w:ascii="Times New Roman" w:hAnsi="Times New Roman"/>
                <w:sz w:val="18"/>
              </w:rPr>
              <w:t>Present study</w:t>
            </w:r>
          </w:p>
        </w:tc>
      </w:tr>
      <w:tr>
        <w:tc>
          <w:tcPr>
            <w:tcW w:type="dxa" w:w="2592"/>
            <w:vAlign w:val="center"/>
            <w:shd w:val="clear" w:color="auto" w:fill="E2EFDA"/>
          </w:tcPr>
          <w:p>
            <w:pPr>
              <w:spacing w:line="240" w:lineRule="auto" w:after="40" w:before="40"/>
              <w:jc w:val="left"/>
            </w:pPr>
            <w:r>
              <w:rPr>
                <w:rFonts w:ascii="Times New Roman" w:hAnsi="Times New Roman"/>
                <w:sz w:val="18"/>
              </w:rPr>
              <w:t>S3 (this work)</w:t>
            </w:r>
          </w:p>
        </w:tc>
        <w:tc>
          <w:tcPr>
            <w:tcW w:type="dxa" w:w="1872"/>
            <w:vAlign w:val="center"/>
            <w:shd w:val="clear" w:color="auto" w:fill="E2EFDA"/>
          </w:tcPr>
          <w:p>
            <w:pPr>
              <w:spacing w:line="240" w:lineRule="auto" w:after="40" w:before="40"/>
              <w:jc w:val="center"/>
            </w:pPr>
            <w:r>
              <w:rPr>
                <w:rFonts w:ascii="Times New Roman" w:hAnsi="Times New Roman"/>
                <w:sz w:val="18"/>
              </w:rPr>
              <w:t>0.0608</w:t>
            </w:r>
          </w:p>
        </w:tc>
        <w:tc>
          <w:tcPr>
            <w:tcW w:type="dxa" w:w="2736"/>
            <w:vAlign w:val="center"/>
          </w:tcPr>
          <w:p>
            <w:pPr>
              <w:spacing w:line="240" w:lineRule="auto" w:after="40" w:before="40"/>
              <w:jc w:val="center"/>
            </w:pPr>
            <w:r>
              <w:rPr>
                <w:rFonts w:ascii="Times New Roman" w:hAnsi="Times New Roman"/>
                <w:sz w:val="18"/>
              </w:rPr>
              <w:t>Corn starch (90:10)</w:t>
            </w:r>
          </w:p>
        </w:tc>
        <w:tc>
          <w:tcPr>
            <w:tcW w:type="dxa" w:w="2448"/>
            <w:vAlign w:val="center"/>
          </w:tcPr>
          <w:p>
            <w:pPr>
              <w:spacing w:line="240" w:lineRule="auto" w:after="40" w:before="40"/>
              <w:jc w:val="center"/>
            </w:pPr>
            <w:r>
              <w:rPr>
                <w:rFonts w:ascii="Times New Roman" w:hAnsi="Times New Roman"/>
                <w:sz w:val="18"/>
              </w:rPr>
              <w:t>Present study</w:t>
            </w:r>
          </w:p>
        </w:tc>
      </w:tr>
      <w:tr>
        <w:tc>
          <w:tcPr>
            <w:tcW w:type="dxa" w:w="2592"/>
            <w:vAlign w:val="center"/>
          </w:tcPr>
          <w:p>
            <w:pPr>
              <w:spacing w:line="240" w:lineRule="auto" w:after="40" w:before="40"/>
              <w:jc w:val="left"/>
            </w:pPr>
            <w:r>
              <w:rPr>
                <w:rFonts w:ascii="Times New Roman" w:hAnsi="Times New Roman"/>
                <w:sz w:val="18"/>
              </w:rPr>
              <w:t>S4 (this work)</w:t>
            </w:r>
          </w:p>
        </w:tc>
        <w:tc>
          <w:tcPr>
            <w:tcW w:type="dxa" w:w="1872"/>
            <w:vAlign w:val="center"/>
          </w:tcPr>
          <w:p>
            <w:pPr>
              <w:spacing w:line="240" w:lineRule="auto" w:after="40" w:before="40"/>
              <w:jc w:val="center"/>
            </w:pPr>
            <w:r>
              <w:rPr>
                <w:rFonts w:ascii="Times New Roman" w:hAnsi="Times New Roman"/>
                <w:sz w:val="18"/>
              </w:rPr>
              <w:t>0.1846</w:t>
            </w:r>
          </w:p>
        </w:tc>
        <w:tc>
          <w:tcPr>
            <w:tcW w:type="dxa" w:w="2736"/>
            <w:vAlign w:val="center"/>
          </w:tcPr>
          <w:p>
            <w:pPr>
              <w:spacing w:line="240" w:lineRule="auto" w:after="40" w:before="40"/>
              <w:jc w:val="center"/>
            </w:pPr>
            <w:r>
              <w:rPr>
                <w:rFonts w:ascii="Times New Roman" w:hAnsi="Times New Roman"/>
                <w:sz w:val="18"/>
              </w:rPr>
              <w:t>Corn starch (70:30)</w:t>
            </w:r>
          </w:p>
        </w:tc>
        <w:tc>
          <w:tcPr>
            <w:tcW w:type="dxa" w:w="2448"/>
            <w:vAlign w:val="center"/>
          </w:tcPr>
          <w:p>
            <w:pPr>
              <w:spacing w:line="240" w:lineRule="auto" w:after="40" w:before="40"/>
              <w:jc w:val="center"/>
            </w:pPr>
            <w:r>
              <w:rPr>
                <w:rFonts w:ascii="Times New Roman" w:hAnsi="Times New Roman"/>
                <w:sz w:val="18"/>
              </w:rPr>
              <w:t>Present study</w:t>
            </w:r>
          </w:p>
        </w:tc>
      </w:tr>
    </w:tbl>
    <w:p>
      <w:pPr>
        <w:keepNext/>
        <w:spacing w:line="360" w:lineRule="auto" w:before="240" w:after="120"/>
      </w:pPr>
      <w:r>
        <w:rPr>
          <w:rFonts w:ascii="Times New Roman" w:hAnsi="Times New Roman"/>
          <w:b/>
          <w:color w:val="000000"/>
          <w:sz w:val="26"/>
        </w:rPr>
        <w:t>4.  Conclusions</w:t>
      </w:r>
    </w:p>
    <w:p>
      <w:pPr>
        <w:spacing w:lineRule="auto" w:line="360" w:before="0" w:after="160"/>
        <w:jc w:val="both"/>
      </w:pPr>
      <w:r>
        <w:rPr>
          <w:rFonts w:ascii="Times New Roman" w:hAnsi="Times New Roman"/>
          <w:b w:val="0"/>
          <w:i w:val="0"/>
          <w:sz w:val="22"/>
        </w:rPr>
        <w:t>This study demonstrated the technical feasibility of converting invasive waste aquatic biomass from Dal Lake into fully bio-based insulation panels using a natural corn-starch binder. Particle size was decisive: the coarse binder-less panel fractured on demoulding, whereas all fine-particle panels formed intact specimens. An optimal binder content of 10 wt% corn starch was identified — the 90:10 panel (S3) achieved the highest unconfined compressive strength (186.0 kPa), a 97 % improvement over the binder-less fine panel (94.4 kPa). Two formulations qualified as insulation-grade per ASTM C168: S2 (0.0577 W m⁻¹ K⁻¹) and S3 (0.0608 W m⁻¹ K⁻¹). Excess starch was detrimental: the 70:30 panel showed the lowest strength (26.8 kPa) and a three-fold higher conductivity (0.1846 W m⁻¹ K⁻¹), caused by a weak plasticised matrix and high moisture content (41.18 %). Water absorption was high for all panels (280–658 %) but decreased with binder fraction, confirming moisture resistance as the key property requiring improvement. Overall, the 90:10 biomass:starch panel (S3) is the best-balanced formulation, uniquely combining insulation-grade thermal conductivity with the highest mechanical strength. Future work should address hydrophobic surface treatment (e.g. beeswax or silicone), mild alkali fibre modification, eco-friendly flame retardants, SEM/FTIR characterisation, hot-pressing trials, and a comparative life-cycle assessment against EPS, PU foam and glass wool to advance the panels towards a deployable, circular-economy building product.</w:t>
      </w:r>
    </w:p>
    <w:p>
      <w:pPr>
        <w:keepNext/>
        <w:spacing w:line="360" w:lineRule="auto" w:before="240" w:after="120"/>
      </w:pPr>
      <w:r>
        <w:rPr>
          <w:rFonts w:ascii="Times New Roman" w:hAnsi="Times New Roman"/>
          <w:b/>
          <w:color w:val="000000"/>
          <w:sz w:val="22"/>
        </w:rPr>
        <w:t>CRediT authorship contribution statement</w:t>
      </w:r>
    </w:p>
    <w:p>
      <w:pPr>
        <w:spacing w:lineRule="auto" w:line="360" w:before="0" w:after="160"/>
        <w:jc w:val="both"/>
      </w:pPr>
      <w:r>
        <w:rPr>
          <w:rFonts w:ascii="Times New Roman" w:hAnsi="Times New Roman"/>
          <w:b w:val="0"/>
          <w:i w:val="0"/>
          <w:sz w:val="20"/>
        </w:rPr>
        <w:t>Suchetan Karloopia: Conceptualization, Methodology, Investigation, Writing – original draft. Miran Haider: Investigation, Validation, Data curation. Akshita Sen: Investigation, Formal analysis, Visualization. Fasil Qayoom Mir: Supervision, Conceptualization, Writing – review &amp; editing, Resources.</w:t>
      </w:r>
    </w:p>
    <w:p>
      <w:pPr>
        <w:keepNext/>
        <w:spacing w:line="360" w:lineRule="auto" w:before="160" w:after="120"/>
      </w:pPr>
      <w:r>
        <w:rPr>
          <w:rFonts w:ascii="Times New Roman" w:hAnsi="Times New Roman"/>
          <w:b/>
          <w:color w:val="000000"/>
          <w:sz w:val="22"/>
        </w:rPr>
        <w:t>Declaration of competing interest</w:t>
      </w:r>
    </w:p>
    <w:p>
      <w:pPr>
        <w:spacing w:lineRule="auto" w:line="360" w:before="0" w:after="160"/>
        <w:jc w:val="both"/>
      </w:pPr>
      <w:r>
        <w:rPr>
          <w:rFonts w:ascii="Times New Roman" w:hAnsi="Times New Roman"/>
          <w:b w:val="0"/>
          <w:i w:val="0"/>
          <w:sz w:val="20"/>
        </w:rPr>
        <w:t>The authors declare that they have no known competing financial interests or personal relationships that could have appeared to influence the work reported in this paper.</w:t>
      </w:r>
    </w:p>
    <w:p>
      <w:pPr>
        <w:keepNext/>
        <w:spacing w:line="360" w:lineRule="auto" w:before="160" w:after="120"/>
      </w:pPr>
      <w:r>
        <w:rPr>
          <w:rFonts w:ascii="Times New Roman" w:hAnsi="Times New Roman"/>
          <w:b/>
          <w:color w:val="000000"/>
          <w:sz w:val="22"/>
        </w:rPr>
        <w:t>Acknowledgements</w:t>
      </w:r>
    </w:p>
    <w:p>
      <w:pPr>
        <w:spacing w:lineRule="auto" w:line="360" w:before="0" w:after="160"/>
        <w:jc w:val="both"/>
      </w:pPr>
      <w:r>
        <w:rPr>
          <w:rFonts w:ascii="Times New Roman" w:hAnsi="Times New Roman"/>
          <w:b w:val="0"/>
          <w:i w:val="0"/>
          <w:sz w:val="20"/>
        </w:rPr>
        <w:t>The authors gratefully acknowledge the Department of Chemical Engineering, NIT Srinagar, for laboratory facilities; the Department of Chemistry for access to the mixer-grinder; the Department of Civil Engineering for the unconfined compression testing apparatus; and the staff who facilitated the KD2 Pro thermal conductivity measurements.</w:t>
      </w:r>
    </w:p>
    <w:p>
      <w:pPr>
        <w:keepNext/>
        <w:spacing w:line="360" w:lineRule="auto" w:before="240" w:after="120"/>
      </w:pPr>
      <w:r>
        <w:rPr>
          <w:rFonts w:ascii="Times New Roman" w:hAnsi="Times New Roman"/>
          <w:b/>
          <w:color w:val="000000"/>
          <w:sz w:val="26"/>
        </w:rPr>
        <w:t>References</w:t>
      </w:r>
    </w:p>
    <w:p>
      <w:pPr>
        <w:spacing w:line="288" w:lineRule="auto" w:after="120"/>
        <w:ind w:left="576" w:hanging="576"/>
        <w:jc w:val="both"/>
      </w:pPr>
      <w:r>
        <w:rPr>
          <w:rFonts w:ascii="Times New Roman" w:hAnsi="Times New Roman"/>
          <w:sz w:val="19"/>
        </w:rPr>
        <w:t>Abral, H., Kadriadi, D., Rodianus, A., Mistar, P., Sapuan, S.M., Zainudin, E.S., 2014. Mechanical properties of water hyacinth fibers–polyester composites before and after immersion in water. Mater. Des. 58, 125–129. https://doi.org/10.1016/j.matdes.2014.01.043.</w:t>
      </w:r>
    </w:p>
    <w:p>
      <w:pPr>
        <w:spacing w:line="288" w:lineRule="auto" w:after="120"/>
        <w:ind w:left="576" w:hanging="576"/>
        <w:jc w:val="both"/>
      </w:pPr>
      <w:r>
        <w:rPr>
          <w:rFonts w:ascii="Times New Roman" w:hAnsi="Times New Roman"/>
          <w:sz w:val="19"/>
        </w:rPr>
        <w:t>Anjani, A., Iskandar, B., Aziz, M., 2023. The utilization of composite material: water hyacinth and sugarcane bagasse fiber–epoxy for cool box thermal insulation. J. Energy Mech. Mater. Manuf. Eng. 8 (1), 29–38. https://doi.org/10.22219/jemmme.v8i1.25010.</w:t>
      </w:r>
    </w:p>
    <w:p>
      <w:pPr>
        <w:spacing w:line="288" w:lineRule="auto" w:after="120"/>
        <w:ind w:left="576" w:hanging="576"/>
        <w:jc w:val="both"/>
      </w:pPr>
      <w:r>
        <w:rPr>
          <w:rFonts w:ascii="Times New Roman" w:hAnsi="Times New Roman"/>
          <w:sz w:val="19"/>
        </w:rPr>
        <w:t>Asdrubali, F., D'Alessandro, F., Schiavoni, S., 2015. A review of unconventional sustainable building insulation materials. Sustain. Mater. Technol. 4, 1–17. https://doi.org/10.1016/j.susmat.2015.05.002.</w:t>
      </w:r>
    </w:p>
    <w:p>
      <w:pPr>
        <w:spacing w:line="288" w:lineRule="auto" w:after="120"/>
        <w:ind w:left="576" w:hanging="576"/>
        <w:jc w:val="both"/>
      </w:pPr>
      <w:r>
        <w:rPr>
          <w:rFonts w:ascii="Times New Roman" w:hAnsi="Times New Roman"/>
          <w:sz w:val="19"/>
        </w:rPr>
        <w:t>Chaireh, P., Meethong, N., Khomwaen, P., 2020. Novel composite foam made from starch and water hyacinth with beeswax coating for food packaging applications. Int. J. Biol. Macromol. 165, 1382–1391. https://doi.org/10.1016/j.ijbiomac.2020.09.243.</w:t>
      </w:r>
    </w:p>
    <w:p>
      <w:pPr>
        <w:spacing w:line="288" w:lineRule="auto" w:after="120"/>
        <w:ind w:left="576" w:hanging="576"/>
        <w:jc w:val="both"/>
      </w:pPr>
      <w:r>
        <w:rPr>
          <w:rFonts w:ascii="Times New Roman" w:hAnsi="Times New Roman"/>
          <w:sz w:val="19"/>
        </w:rPr>
        <w:t>Cosentino, L., Fernandes, P., Mateus, R., 2023. A review of natural bio-based insulation materials. Energies 16 (13), 4926. https://doi.org/10.3390/en16134926.</w:t>
      </w:r>
    </w:p>
    <w:p>
      <w:pPr>
        <w:spacing w:line="288" w:lineRule="auto" w:after="120"/>
        <w:ind w:left="576" w:hanging="576"/>
        <w:jc w:val="both"/>
      </w:pPr>
      <w:r>
        <w:rPr>
          <w:rFonts w:ascii="Times New Roman" w:hAnsi="Times New Roman"/>
          <w:sz w:val="19"/>
        </w:rPr>
        <w:t>Jaktorn, C., Jiajitsawat, S., 2021. Production of thermal insulator from water hyacinth fiber and natural rubber latex. J. Ecol. Eng. 22 (7), 134–141. https://doi.org/10.12911/22998993/138736.</w:t>
      </w:r>
    </w:p>
    <w:p>
      <w:pPr>
        <w:spacing w:line="288" w:lineRule="auto" w:after="120"/>
        <w:ind w:left="576" w:hanging="576"/>
        <w:jc w:val="both"/>
      </w:pPr>
      <w:r>
        <w:rPr>
          <w:rFonts w:ascii="Times New Roman" w:hAnsi="Times New Roman"/>
          <w:sz w:val="19"/>
        </w:rPr>
        <w:t>Jeon, J., Park, S., Kim, S., 2017. A study on insulation characteristics of glass wool and mineral wool coated with a polysiloxane agent. Adv. Mater. Sci. Eng. 2017, 3938965. https://doi.org/10.1155/2017/3938965.</w:t>
      </w:r>
    </w:p>
    <w:p>
      <w:pPr>
        <w:spacing w:line="288" w:lineRule="auto" w:after="120"/>
        <w:ind w:left="576" w:hanging="576"/>
        <w:jc w:val="both"/>
      </w:pPr>
      <w:r>
        <w:rPr>
          <w:rFonts w:ascii="Times New Roman" w:hAnsi="Times New Roman"/>
          <w:sz w:val="19"/>
        </w:rPr>
        <w:t>Kymäläinen, H.-R., Sjöberg, A.-M., 2008. Flax and hemp fibres as raw materials for thermal insulation. Build. Environ. 43 (7), 1261–1269. https://doi.org/10.1016/j.buildenv.2007.03.006.</w:t>
      </w:r>
    </w:p>
    <w:p>
      <w:pPr>
        <w:spacing w:line="288" w:lineRule="auto" w:after="120"/>
        <w:ind w:left="576" w:hanging="576"/>
        <w:jc w:val="both"/>
      </w:pPr>
      <w:r>
        <w:rPr>
          <w:rFonts w:ascii="Times New Roman" w:hAnsi="Times New Roman"/>
          <w:sz w:val="19"/>
        </w:rPr>
        <w:t>Oushabi, A., Sair, S., Abboud, Y., Tanane, O., El Bouari, A., 2022. Thermal and mechanical characterization of alkali-treated sugarcane bagasse-reinforced thermoset composites. South Afr. J. Chem. Eng. 40, 104–112. https://doi.org/10.1016/j.sajce.2022.02.006.</w:t>
      </w:r>
    </w:p>
    <w:p>
      <w:pPr>
        <w:spacing w:line="288" w:lineRule="auto" w:after="120"/>
        <w:ind w:left="576" w:hanging="576"/>
        <w:jc w:val="both"/>
      </w:pPr>
      <w:r>
        <w:rPr>
          <w:rFonts w:ascii="Times New Roman" w:hAnsi="Times New Roman"/>
          <w:sz w:val="19"/>
        </w:rPr>
        <w:t>Pawlowski, K., Strzalkowska, A., Chojnacka, B., 2025. Exploring advancements in bio-based composites for thermal insulation: a systematic review. Sustainability 17 (3), 1143. https://doi.org/10.3390/su17031143.</w:t>
      </w:r>
    </w:p>
    <w:p>
      <w:pPr>
        <w:spacing w:line="288" w:lineRule="auto" w:after="120"/>
        <w:ind w:left="576" w:hanging="576"/>
        <w:jc w:val="both"/>
      </w:pPr>
      <w:r>
        <w:rPr>
          <w:rFonts w:ascii="Times New Roman" w:hAnsi="Times New Roman"/>
          <w:sz w:val="19"/>
        </w:rPr>
        <w:t>Philip, S., Rakendu, R., 2022. Thermal insulation materials based on water hyacinth for application in sustainable buildings. Mater. Today Proc. 57, 1863–1867. https://doi.org/10.1016/j.matpr.2022.01.062.</w:t>
      </w:r>
    </w:p>
    <w:p>
      <w:pPr>
        <w:spacing w:line="288" w:lineRule="auto" w:after="120"/>
        <w:ind w:left="576" w:hanging="576"/>
        <w:jc w:val="both"/>
      </w:pPr>
      <w:r>
        <w:rPr>
          <w:rFonts w:ascii="Times New Roman" w:hAnsi="Times New Roman"/>
          <w:sz w:val="19"/>
        </w:rPr>
        <w:t>Pinto, J., Pereira, E., Tavares, A., Ferreira, V.M., 2021. Corn's cob as a potential ecological thermal insulation material. Constr. Build. Mater. 277, 122282. https://doi.org/10.1016/j.conbuildmat.2021.122282.</w:t>
      </w:r>
    </w:p>
    <w:p>
      <w:pPr>
        <w:spacing w:line="288" w:lineRule="auto" w:after="120"/>
        <w:ind w:left="576" w:hanging="576"/>
        <w:jc w:val="both"/>
      </w:pPr>
      <w:r>
        <w:rPr>
          <w:rFonts w:ascii="Times New Roman" w:hAnsi="Times New Roman"/>
          <w:sz w:val="19"/>
        </w:rPr>
        <w:t>Salas-Ruiz, A., Barbero-Barrera, M. del M., Ruiz-Téllez, T., 2019. Microstructural and thermo-physical characterization of a water hyacinth petiole for thermal insulation particle board manufacture. Materials 12 (4), 560. https://doi.org/10.3390/ma12040560.</w:t>
      </w:r>
    </w:p>
    <w:p>
      <w:pPr>
        <w:spacing w:line="288" w:lineRule="auto" w:after="120"/>
        <w:ind w:left="576" w:hanging="576"/>
        <w:jc w:val="both"/>
      </w:pPr>
      <w:r>
        <w:rPr>
          <w:rFonts w:ascii="Times New Roman" w:hAnsi="Times New Roman"/>
          <w:sz w:val="19"/>
        </w:rPr>
        <w:t>Suwanniroj, P., Suppakarn, N., 2023. Water hyacinth fiber as a bio-based carbon source for intumescent flame-retardant poly(butylene succinate) composites. Polymers 15 (21), 4211. https://doi.org/10.3390/polym15214211.</w:t>
      </w:r>
    </w:p>
    <w:p>
      <w:pPr>
        <w:spacing w:line="288" w:lineRule="auto" w:after="120"/>
        <w:ind w:left="576" w:hanging="576"/>
        <w:jc w:val="both"/>
      </w:pPr>
      <w:r>
        <w:rPr>
          <w:rFonts w:ascii="Times New Roman" w:hAnsi="Times New Roman"/>
          <w:sz w:val="19"/>
        </w:rPr>
        <w:t>Wang, X., Li, Z., Shi, H., Yu, Y., 2023. Natural pineapple-leaf fibre: a promising material for high-performance composites. Ind. Crops Prod. 195, 116447. https://doi.org/10.1016/j.indcrop.2023.116447.</w:t>
      </w:r>
    </w:p>
    <w:p>
      <w:pPr>
        <w:spacing w:line="288" w:lineRule="auto" w:after="120"/>
        <w:ind w:left="576" w:hanging="576"/>
        <w:jc w:val="both"/>
      </w:pPr>
      <w:r>
        <w:rPr>
          <w:rFonts w:ascii="Times New Roman" w:hAnsi="Times New Roman"/>
          <w:sz w:val="19"/>
        </w:rPr>
        <w:t>Zhou, Y., Trabelsi, A., El Mankibi, M., 2022. Hygrothermal properties of insulation materials from rice straw and natural binders for buildings. Polymers 14 (9), 1735. https://doi.org/10.3390/polym14091735.</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