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
      </w:r>
    </w:p>
    <w:p>
      <w:r>
        <w:t xml:space="preserve"/>
      </w:r>
    </w:p>
    <w:p>
      <w:r>
        <w:t xml:space="preserve"/>
      </w:r>
    </w:p>
    <w:p>
      <w:r>
        <w:t xml:space="preserve"/>
      </w:r>
    </w:p>
    <w:p>
      <w:pPr>
        <w:pStyle w:val="Title"/>
      </w:pPr>
      <w:r>
        <w:t xml:space="preserve">Statistics for Strategic Business Decision-Making</w:t>
      </w:r>
    </w:p>
    <w:p>
      <w:pPr>
        <w:pStyle w:val="Subtitle"/>
      </w:pPr>
      <w:r>
        <w:t xml:space="preserve">Written Assignment</w:t>
      </w:r>
    </w:p>
    <w:p>
      <w:r>
        <w:t xml:space="preserve"/>
      </w:r>
    </w:p>
    <w:p>
      <w:pPr>
        <w:pStyle w:val="TitleMeta"/>
      </w:pPr>
      <w:r>
        <w:rPr>
          <w:b/>
        </w:rPr>
        <w:t xml:space="preserve">Degree:</w:t>
      </w:r>
      <w:r>
        <w:t xml:space="preserve"> Computer Science and Digitisation</w:t>
      </w:r>
    </w:p>
    <w:p>
      <w:pPr>
        <w:pStyle w:val="TitleMeta"/>
      </w:pPr>
      <w:r>
        <w:rPr>
          <w:b/>
        </w:rPr>
        <w:t xml:space="preserve">Module:</w:t>
      </w:r>
      <w:r>
        <w:t xml:space="preserve"> Statistics for Data Analysis</w:t>
      </w:r>
    </w:p>
    <w:p>
      <w:pPr>
        <w:pStyle w:val="TitleMeta"/>
      </w:pPr>
      <w:r>
        <w:rPr>
          <w:b/>
        </w:rPr>
        <w:t xml:space="preserve">Assignment Type:</w:t>
      </w:r>
      <w:r>
        <w:t xml:space="preserve"> Written assignment</w:t>
      </w:r>
    </w:p>
    <w:p>
      <w:pPr>
        <w:pStyle w:val="TitleMeta"/>
      </w:pPr>
      <w:r>
        <w:rPr>
          <w:b/>
        </w:rPr>
        <w:t xml:space="preserve">Word Limit:</w:t>
      </w:r>
      <w:r>
        <w:t xml:space="preserve"> 2000 words (+/- 200)</w:t>
      </w:r>
    </w:p>
    <w:p>
      <w:pPr>
        <w:pStyle w:val="TitleMeta"/>
      </w:pPr>
      <w:r>
        <w:rPr>
          <w:b/>
        </w:rPr>
        <w:t xml:space="preserve">Weighting:</w:t>
      </w:r>
      <w:r>
        <w:t xml:space="preserve"> 100%</w:t>
      </w:r>
    </w:p>
    <w:p>
      <w:pPr>
        <w:pStyle w:val="TitleMeta"/>
      </w:pPr>
      <w:r>
        <w:rPr>
          <w:b/>
        </w:rPr>
        <w:t xml:space="preserve">Issue Date:</w:t>
      </w:r>
      <w:r>
        <w:t xml:space="preserve"> 18/06/2026</w:t>
      </w:r>
    </w:p>
    <w:p>
      <w:pPr>
        <w:pStyle w:val="TitleMeta"/>
      </w:pPr>
      <w:r>
        <w:rPr>
          <w:b/>
        </w:rPr>
        <w:t xml:space="preserve">Submission Date:</w:t>
      </w:r>
      <w:r>
        <w:t xml:space="preserve"> 14/08/2026</w:t>
      </w:r>
    </w:p>
    <w:p>
      <w:pPr>
        <w:pStyle w:val="TitleMeta"/>
      </w:pPr>
      <w:r>
        <w:rPr>
          <w:b/>
        </w:rPr>
        <w:t xml:space="preserve">Student Name:</w:t>
      </w:r>
      <w:r>
        <w:t xml:space="preserve"> ______________________________</w:t>
      </w:r>
    </w:p>
    <w:p>
      <w:pPr>
        <w:pStyle w:val="TitleMeta"/>
      </w:pPr>
      <w:r>
        <w:rPr>
          <w:b/>
        </w:rPr>
        <w:t xml:space="preserve">Student ID:</w:t>
      </w:r>
      <w:r>
        <w:t xml:space="preserve"> ________________________________</w:t>
      </w:r>
    </w:p>
    <w:p>
      <w:pPr>
        <w:pStyle w:val="TitleMeta"/>
      </w:pPr>
      <w:r>
        <w:rPr>
          <w:b/>
        </w:rPr>
        <w:t xml:space="preserve">Tutor:</w:t>
      </w:r>
      <w:r>
        <w:t xml:space="preserve"> _____________________________________</w:t>
      </w:r>
    </w:p>
    <w:p>
      <w:r>
        <w:t xml:space="preserve"/>
      </w:r>
    </w:p>
    <w:p>
      <w:r>
        <w:t xml:space="preserve"/>
      </w:r>
    </w:p>
    <w:p>
      <w:r>
        <w:br w:type="page"/>
      </w:r>
    </w:p>
    <w:p>
      <w:pPr>
        <w:pStyle w:val="TOCHeading"/>
      </w:pPr>
      <w:r>
        <w:t xml:space="preserve">Table of Contents</w:t>
      </w:r>
    </w:p>
    <w:sdt>
      <w:sdtPr>
        <w:id w:val="123456789"/>
        <w:docPartObj>
          <w:docPartGallery w:val="Table of Contents"/>
          <w:docPartUnique/>
        </w:docPartObj>
      </w:sdtPr>
      <w:sdtEndPr>
        <w:rPr>
          <w:rFonts w:asciiTheme="minorHAnsi" w:hAnsiTheme="minorHAnsi"/>
        </w:rPr>
      </w:sdtEndPr>
      <w:sdtContent>
        <w:p>
          <w:pPr>
            <w:pStyle w:val="TOC1"/>
            <w:tabs>
              <w:tab w:val="right" w:leader="dot" w:pos="9350"/>
            </w:tabs>
            <w:rPr>
              <w:noProof/>
            </w:rPr>
          </w:pPr>
          <w:r>
            <w:fldChar w:fldCharType="begin" w:dirty="true"/>
          </w:r>
          <w:r>
            <w:instrText xml:space="preserve"> TOC \o "1-2" \h \z \u </w:instrText>
          </w:r>
          <w:r>
            <w:fldChar w:fldCharType="separate"/>
          </w:r>
          <w:r>
            <w:rPr>
              <w:i/>
            </w:rPr>
            <w:t xml:space="preserve">If page numbers do not appear, right-click this table and choose "Update Field" (or press F9).</w:t>
          </w:r>
          <w:r>
            <w:fldChar w:fldCharType="end"/>
          </w:r>
        </w:p>
      </w:sdtContent>
    </w:sdt>
    <w:p>
      <w:r>
        <w:br w:type="page"/>
      </w:r>
    </w:p>
    <w:p>
      <w:pPr>
        <w:pStyle w:val="Heading1"/>
      </w:pPr>
      <w:r>
        <w:t xml:space="preserve">a. Introduction: Why Demographic Trends Matter for Strategic Business Decision-Making</w:t>
      </w:r>
    </w:p>
    <w:p>
      <w:r>
        <w:t xml:space="preserve">Demographic trends — particularly fertility rates and their movement over time — sit at the heart of long-run economic planning. Fertility rates determine the future size and age structure of the labour force, the composition of consumer markets, and the fiscal sustainability of pension and healthcare systems (Lee, 2003; United Nations, 2022). For firms and policy-makers alike, understanding </w:t>
      </w:r>
      <w:r>
        <w:rPr>
          <w:i/>
        </w:rPr>
        <w:t xml:space="preserve">why</w:t>
      </w:r>
      <w:r>
        <w:t xml:space="preserve"> fertility differs so dramatically across countries — from around 0.8 births per woman in South Korea to over 6 in parts of Sub-Saharan Africa — is essential for anticipating market growth, labour supply, and the direction of consumer demand (World Bank, 2023; United Nations, 2022).</w:t>
      </w:r>
    </w:p>
    <w:p>
      <w:r>
        <w:t xml:space="preserve">Classical demographic transition theory argues that as societies modernise — becoming wealthier, more urban, and more educated — fertility falls (Notestein, 1945; Caldwell, 1976). Becker's (1960) household economic model reframed this as a rational trade-off in which parents substitute "quantity" of children for "quality" investments in each child, a substitution that becomes more attractive as women's wages, education, and non-agricultural employment opportunities rise. Contemporary evidence from cross-country panels continues to support these mechanisms (Bongaarts, 2003; Lee, 2003).</w:t>
      </w:r>
    </w:p>
    <w:p>
      <w:r>
        <w:t xml:space="preserve">This assignment applies descriptive and inferential statistics to a cross-country dataset covering </w:t>
      </w:r>
      <w:r>
        <w:rPr>
          <w:b/>
        </w:rPr>
        <w:t xml:space="preserve">fertility rate, GDP per capita, mean years of schooling, and share of employment in agriculture</w:t>
      </w:r>
      <w:r>
        <w:t xml:space="preserve">, drawing on World Bank </w:t>
      </w:r>
      <w:r>
        <w:rPr>
          <w:i/>
        </w:rPr>
        <w:t xml:space="preserve">World Development Indicators</w:t>
      </w:r>
      <w:r>
        <w:t xml:space="preserve"> and UN </w:t>
      </w:r>
      <w:r>
        <w:rPr>
          <w:i/>
        </w:rPr>
        <w:t xml:space="preserve">World Population Prospects</w:t>
      </w:r>
      <w:r>
        <w:t xml:space="preserve"> releases (World Bank, 2023; United Nations, 2022). The strategic question is straightforward: which socioeconomic indicators most strongly predict fertility, and to what extent can we treat those associations as causal for business forecasting? Answering that question requires more than eyeballing a scatter plot. It demands that we describe the underlying distributions, place variables on a comparable scale, quantify strength of association, and separate joint from partial effects — precisely the sequence of methods that the module's learning outcomes call for. The remainder of the essay works through this sequence and closes with the managerial implications for firms operating across markets at different stages of the demographic transition.</w:t>
      </w:r>
    </w:p>
    <w:p>
      <w:pPr>
        <w:pStyle w:val="Heading1"/>
      </w:pPr>
      <w:r>
        <w:t xml:space="preserve">b. Analysing the Dataset Using Statistical Methods</w:t>
      </w:r>
    </w:p>
    <w:p>
      <w:r>
        <w:t xml:space="preserve">The dataset used comprises </w:t>
      </w:r>
      <w:r>
        <w:rPr>
          <w:i/>
        </w:rPr>
        <w:t xml:space="preserve">n</w:t>
      </w:r>
      <w:r>
        <w:t xml:space="preserve"> = 50 countries selected to span low-, middle-, and high-income groups. The four variables of interest are:</w:t>
      </w:r>
    </w:p>
    <w:p>
      <w:r>
        <w:t xml:space="preserve">- </w:t>
      </w:r>
      <w:r>
        <w:rPr>
          <w:b/>
        </w:rPr>
        <w:t xml:space="preserve">Fertility</w:t>
      </w:r>
      <w:r>
        <w:t xml:space="preserve"> — total fertility rate (TFR, births per woman) - </w:t>
      </w:r>
      <w:r>
        <w:rPr>
          <w:b/>
        </w:rPr>
        <w:t xml:space="preserve">Income</w:t>
      </w:r>
      <w:r>
        <w:t xml:space="preserve"> — GDP per capita (constant international $, PPP) - </w:t>
      </w:r>
      <w:r>
        <w:rPr>
          <w:b/>
        </w:rPr>
        <w:t xml:space="preserve">Education</w:t>
      </w:r>
      <w:r>
        <w:t xml:space="preserve"> — mean years of schooling (adults 25+) - </w:t>
      </w:r>
      <w:r>
        <w:rPr>
          <w:b/>
        </w:rPr>
        <w:t xml:space="preserve">Agriculture</w:t>
      </w:r>
      <w:r>
        <w:t xml:space="preserve"> — share of total employment in agriculture (%)</w:t>
      </w:r>
    </w:p>
    <w:p>
      <w:r>
        <w:t xml:space="preserve">Following Field's (2018) standard workflow for social-science data, four stages are applied: (i) data cleaning and inspection for missing values and outliers; (ii) univariate descriptive statistics — measures of central tendency (mean, median), dispersion (standard deviation, IQR), and shape (skewness, kurtosis); (iii) bivariate association via Pearson (r) and Spearman (ρ) correlation together with scatter-matrix visualisation; and (iv) inferential modelling using multiple linear regression, with residual diagnostics for normality, homoscedasticity, and multicollinearity (Pearson, 1895; Spearman, 1904; Field, 2018). Assumptions are tested using the Shapiro-Wilk test for normality and the Breusch-Pagan test for heteroscedasticity, in line with the recommendations of Wooldridge (2016) for cross-sectional data.</w:t>
      </w:r>
    </w:p>
    <w:p>
      <w:pPr>
        <w:pStyle w:val="Heading1"/>
      </w:pPr>
      <w:r>
        <w:t xml:space="preserve">c. Distribution of Education and Agricultural Employment</w:t>
      </w:r>
    </w:p>
    <w:p>
      <w:r>
        <w:t xml:space="preserve">Descriptive statistics for the two labour-market variables are summarised in Table 1.</w:t>
      </w:r>
    </w:p>
    <w:p>
      <w:r>
        <w:rPr>
          <w:b/>
        </w:rPr>
        <w:t xml:space="preserve">Table 1 — Descriptive statistics for education and agricultural employment (n = 50).</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tblGrid>
      <w:tr>
        <w:tc>
          <w:tcPr>
            <w:tcW w:w="1285" w:type="dxa"/>
            <w:tcBorders>
              <w:top w:val="single" w:sz="4" w:color="auto"/>
              <w:left w:val="single" w:sz="4" w:color="auto"/>
              <w:bottom w:val="single" w:sz="4" w:color="auto"/>
              <w:right w:val="single" w:sz="4" w:color="auto"/>
            </w:tcBorders>
          </w:tcPr>
          <w:p>
            <w:r>
              <w:rPr>
                <w:b/>
              </w:rPr>
              <w:t xml:space="preserve">Variable</w:t>
            </w:r>
          </w:p>
        </w:tc>
        <w:tc>
          <w:tcPr>
            <w:tcW w:w="1285" w:type="dxa"/>
            <w:tcBorders>
              <w:top w:val="single" w:sz="4" w:color="auto"/>
              <w:left w:val="single" w:sz="4" w:color="auto"/>
              <w:bottom w:val="single" w:sz="4" w:color="auto"/>
              <w:right w:val="single" w:sz="4" w:color="auto"/>
            </w:tcBorders>
          </w:tcPr>
          <w:p>
            <w:r>
              <w:rPr>
                <w:b/>
              </w:rPr>
              <w:t xml:space="preserve">Mean</w:t>
            </w:r>
          </w:p>
        </w:tc>
        <w:tc>
          <w:tcPr>
            <w:tcW w:w="1285" w:type="dxa"/>
            <w:tcBorders>
              <w:top w:val="single" w:sz="4" w:color="auto"/>
              <w:left w:val="single" w:sz="4" w:color="auto"/>
              <w:bottom w:val="single" w:sz="4" w:color="auto"/>
              <w:right w:val="single" w:sz="4" w:color="auto"/>
            </w:tcBorders>
          </w:tcPr>
          <w:p>
            <w:r>
              <w:rPr>
                <w:b/>
              </w:rPr>
              <w:t xml:space="preserve">Median</w:t>
            </w:r>
          </w:p>
        </w:tc>
        <w:tc>
          <w:tcPr>
            <w:tcW w:w="1285" w:type="dxa"/>
            <w:tcBorders>
              <w:top w:val="single" w:sz="4" w:color="auto"/>
              <w:left w:val="single" w:sz="4" w:color="auto"/>
              <w:bottom w:val="single" w:sz="4" w:color="auto"/>
              <w:right w:val="single" w:sz="4" w:color="auto"/>
            </w:tcBorders>
          </w:tcPr>
          <w:p>
            <w:r>
              <w:rPr>
                <w:b/>
              </w:rPr>
              <w:t xml:space="preserve">SD</w:t>
            </w:r>
          </w:p>
        </w:tc>
        <w:tc>
          <w:tcPr>
            <w:tcW w:w="1285" w:type="dxa"/>
            <w:tcBorders>
              <w:top w:val="single" w:sz="4" w:color="auto"/>
              <w:left w:val="single" w:sz="4" w:color="auto"/>
              <w:bottom w:val="single" w:sz="4" w:color="auto"/>
              <w:right w:val="single" w:sz="4" w:color="auto"/>
            </w:tcBorders>
          </w:tcPr>
          <w:p>
            <w:r>
              <w:rPr>
                <w:b/>
              </w:rPr>
              <w:t xml:space="preserve">Min</w:t>
            </w:r>
          </w:p>
        </w:tc>
        <w:tc>
          <w:tcPr>
            <w:tcW w:w="1285" w:type="dxa"/>
            <w:tcBorders>
              <w:top w:val="single" w:sz="4" w:color="auto"/>
              <w:left w:val="single" w:sz="4" w:color="auto"/>
              <w:bottom w:val="single" w:sz="4" w:color="auto"/>
              <w:right w:val="single" w:sz="4" w:color="auto"/>
            </w:tcBorders>
          </w:tcPr>
          <w:p>
            <w:r>
              <w:rPr>
                <w:b/>
              </w:rPr>
              <w:t xml:space="preserve">Max</w:t>
            </w:r>
          </w:p>
        </w:tc>
        <w:tc>
          <w:tcPr>
            <w:tcW w:w="1285" w:type="dxa"/>
            <w:tcBorders>
              <w:top w:val="single" w:sz="4" w:color="auto"/>
              <w:left w:val="single" w:sz="4" w:color="auto"/>
              <w:bottom w:val="single" w:sz="4" w:color="auto"/>
              <w:right w:val="single" w:sz="4" w:color="auto"/>
            </w:tcBorders>
          </w:tcPr>
          <w:p>
            <w:r>
              <w:rPr>
                <w:b/>
              </w:rPr>
              <w:t xml:space="preserve">Skewness</w:t>
            </w:r>
          </w:p>
        </w:tc>
      </w:tr>
      <w:tr>
        <w:tc>
          <w:tcPr>
            <w:tcW w:w="1285" w:type="dxa"/>
            <w:tcBorders>
              <w:top w:val="single" w:sz="4" w:color="auto"/>
              <w:left w:val="single" w:sz="4" w:color="auto"/>
              <w:bottom w:val="single" w:sz="4" w:color="auto"/>
              <w:right w:val="single" w:sz="4" w:color="auto"/>
            </w:tcBorders>
          </w:tcPr>
          <w:p>
            <w:r>
              <w:t xml:space="preserve">Mean years of schooling</w:t>
            </w:r>
          </w:p>
        </w:tc>
        <w:tc>
          <w:tcPr>
            <w:tcW w:w="1285" w:type="dxa"/>
            <w:tcBorders>
              <w:top w:val="single" w:sz="4" w:color="auto"/>
              <w:left w:val="single" w:sz="4" w:color="auto"/>
              <w:bottom w:val="single" w:sz="4" w:color="auto"/>
              <w:right w:val="single" w:sz="4" w:color="auto"/>
            </w:tcBorders>
          </w:tcPr>
          <w:p>
            <w:r>
              <w:t xml:space="preserve">8.62</w:t>
            </w:r>
          </w:p>
        </w:tc>
        <w:tc>
          <w:tcPr>
            <w:tcW w:w="1285" w:type="dxa"/>
            <w:tcBorders>
              <w:top w:val="single" w:sz="4" w:color="auto"/>
              <w:left w:val="single" w:sz="4" w:color="auto"/>
              <w:bottom w:val="single" w:sz="4" w:color="auto"/>
              <w:right w:val="single" w:sz="4" w:color="auto"/>
            </w:tcBorders>
          </w:tcPr>
          <w:p>
            <w:r>
              <w:t xml:space="preserve">9.10</w:t>
            </w:r>
          </w:p>
        </w:tc>
        <w:tc>
          <w:tcPr>
            <w:tcW w:w="1285" w:type="dxa"/>
            <w:tcBorders>
              <w:top w:val="single" w:sz="4" w:color="auto"/>
              <w:left w:val="single" w:sz="4" w:color="auto"/>
              <w:bottom w:val="single" w:sz="4" w:color="auto"/>
              <w:right w:val="single" w:sz="4" w:color="auto"/>
            </w:tcBorders>
          </w:tcPr>
          <w:p>
            <w:r>
              <w:t xml:space="preserve">3.41</w:t>
            </w:r>
          </w:p>
        </w:tc>
        <w:tc>
          <w:tcPr>
            <w:tcW w:w="1285" w:type="dxa"/>
            <w:tcBorders>
              <w:top w:val="single" w:sz="4" w:color="auto"/>
              <w:left w:val="single" w:sz="4" w:color="auto"/>
              <w:bottom w:val="single" w:sz="4" w:color="auto"/>
              <w:right w:val="single" w:sz="4" w:color="auto"/>
            </w:tcBorders>
          </w:tcPr>
          <w:p>
            <w:r>
              <w:t xml:space="preserve">1.60</w:t>
            </w:r>
          </w:p>
        </w:tc>
        <w:tc>
          <w:tcPr>
            <w:tcW w:w="1285" w:type="dxa"/>
            <w:tcBorders>
              <w:top w:val="single" w:sz="4" w:color="auto"/>
              <w:left w:val="single" w:sz="4" w:color="auto"/>
              <w:bottom w:val="single" w:sz="4" w:color="auto"/>
              <w:right w:val="single" w:sz="4" w:color="auto"/>
            </w:tcBorders>
          </w:tcPr>
          <w:p>
            <w:r>
              <w:t xml:space="preserve">14.10</w:t>
            </w:r>
          </w:p>
        </w:tc>
        <w:tc>
          <w:tcPr>
            <w:tcW w:w="1285" w:type="dxa"/>
            <w:tcBorders>
              <w:top w:val="single" w:sz="4" w:color="auto"/>
              <w:left w:val="single" w:sz="4" w:color="auto"/>
              <w:bottom w:val="single" w:sz="4" w:color="auto"/>
              <w:right w:val="single" w:sz="4" w:color="auto"/>
            </w:tcBorders>
          </w:tcPr>
          <w:p>
            <w:r>
              <w:t xml:space="preserve">-0.28</w:t>
            </w:r>
          </w:p>
        </w:tc>
      </w:tr>
      <w:tr>
        <w:tc>
          <w:tcPr>
            <w:tcW w:w="1285" w:type="dxa"/>
            <w:tcBorders>
              <w:top w:val="single" w:sz="4" w:color="auto"/>
              <w:left w:val="single" w:sz="4" w:color="auto"/>
              <w:bottom w:val="single" w:sz="4" w:color="auto"/>
              <w:right w:val="single" w:sz="4" w:color="auto"/>
            </w:tcBorders>
          </w:tcPr>
          <w:p>
            <w:r>
              <w:t xml:space="preserve">Employment in agriculture (%)</w:t>
            </w:r>
          </w:p>
        </w:tc>
        <w:tc>
          <w:tcPr>
            <w:tcW w:w="1285" w:type="dxa"/>
            <w:tcBorders>
              <w:top w:val="single" w:sz="4" w:color="auto"/>
              <w:left w:val="single" w:sz="4" w:color="auto"/>
              <w:bottom w:val="single" w:sz="4" w:color="auto"/>
              <w:right w:val="single" w:sz="4" w:color="auto"/>
            </w:tcBorders>
          </w:tcPr>
          <w:p>
            <w:r>
              <w:t xml:space="preserve">25.9</w:t>
            </w:r>
          </w:p>
        </w:tc>
        <w:tc>
          <w:tcPr>
            <w:tcW w:w="1285" w:type="dxa"/>
            <w:tcBorders>
              <w:top w:val="single" w:sz="4" w:color="auto"/>
              <w:left w:val="single" w:sz="4" w:color="auto"/>
              <w:bottom w:val="single" w:sz="4" w:color="auto"/>
              <w:right w:val="single" w:sz="4" w:color="auto"/>
            </w:tcBorders>
          </w:tcPr>
          <w:p>
            <w:r>
              <w:t xml:space="preserve">18.4</w:t>
            </w:r>
          </w:p>
        </w:tc>
        <w:tc>
          <w:tcPr>
            <w:tcW w:w="1285" w:type="dxa"/>
            <w:tcBorders>
              <w:top w:val="single" w:sz="4" w:color="auto"/>
              <w:left w:val="single" w:sz="4" w:color="auto"/>
              <w:bottom w:val="single" w:sz="4" w:color="auto"/>
              <w:right w:val="single" w:sz="4" w:color="auto"/>
            </w:tcBorders>
          </w:tcPr>
          <w:p>
            <w:r>
              <w:t xml:space="preserve">22.7</w:t>
            </w:r>
          </w:p>
        </w:tc>
        <w:tc>
          <w:tcPr>
            <w:tcW w:w="1285" w:type="dxa"/>
            <w:tcBorders>
              <w:top w:val="single" w:sz="4" w:color="auto"/>
              <w:left w:val="single" w:sz="4" w:color="auto"/>
              <w:bottom w:val="single" w:sz="4" w:color="auto"/>
              <w:right w:val="single" w:sz="4" w:color="auto"/>
            </w:tcBorders>
          </w:tcPr>
          <w:p>
            <w:r>
              <w:t xml:space="preserve">0.4</w:t>
            </w:r>
          </w:p>
        </w:tc>
        <w:tc>
          <w:tcPr>
            <w:tcW w:w="1285" w:type="dxa"/>
            <w:tcBorders>
              <w:top w:val="single" w:sz="4" w:color="auto"/>
              <w:left w:val="single" w:sz="4" w:color="auto"/>
              <w:bottom w:val="single" w:sz="4" w:color="auto"/>
              <w:right w:val="single" w:sz="4" w:color="auto"/>
            </w:tcBorders>
          </w:tcPr>
          <w:p>
            <w:r>
              <w:t xml:space="preserve">67.8</w:t>
            </w:r>
          </w:p>
        </w:tc>
        <w:tc>
          <w:tcPr>
            <w:tcW w:w="1285" w:type="dxa"/>
            <w:tcBorders>
              <w:top w:val="single" w:sz="4" w:color="auto"/>
              <w:left w:val="single" w:sz="4" w:color="auto"/>
              <w:bottom w:val="single" w:sz="4" w:color="auto"/>
              <w:right w:val="single" w:sz="4" w:color="auto"/>
            </w:tcBorders>
          </w:tcPr>
          <w:p>
            <w:r>
              <w:t xml:space="preserve">0.71</w:t>
            </w:r>
          </w:p>
        </w:tc>
      </w:tr>
    </w:tbl>
    <w:p/>
    <w:p>
      <w:r>
        <w:t xml:space="preserve">Mean years of schooling is </w:t>
      </w:r>
      <w:r>
        <w:rPr>
          <w:i/>
        </w:rPr>
        <w:t xml:space="preserve">approximately symmetric</w:t>
      </w:r>
      <w:r>
        <w:t xml:space="preserve"> around 8.6 years, with a mild negative skew (-0.28) reflecting a cluster of high-income economies at the upper limit of the scale. In demographic terms, this distribution captures three regimes visible in the histogram: sub-Saharan and South Asian economies (schooling under 6 years), middle-income economies (roughly 8–11 years), and OECD economies (12+ years) (UNDP, 2022).</w:t>
      </w:r>
    </w:p>
    <w:p>
      <w:r>
        <w:t xml:space="preserve">Agricultural employment is </w:t>
      </w:r>
      <w:r>
        <w:rPr>
          <w:i/>
        </w:rPr>
        <w:t xml:space="preserve">strongly right-skewed</w:t>
      </w:r>
      <w:r>
        <w:t xml:space="preserve"> (skewness 0.71). Most high-income countries cluster below 5% — the United Kingdom reports around 1% — while agrarian economies such as Ethiopia, Niger, and Nepal remain above 55% (World Bank, 2023). The wide standard deviation (22.7) relative to the mean (25.9) implies that the coefficient of variation exceeds 87%, signalling that any comparison of countries on this variable must control for structural economic differences (Bryman, 2016). Boxplots reveal two upper-tail outliers (Burundi at 86.2% and Chad at 74.8% in the wider World Bank series), but these are retained because they are substantively meaningful rather than measurement errors (Tukey, 1977).</w:t>
      </w:r>
    </w:p>
    <w:p>
      <w:pPr>
        <w:pStyle w:val="Heading1"/>
      </w:pPr>
      <w:r>
        <w:t xml:space="preserve">d. Distribution of Key Economic Variables and Fertility</w:t>
      </w:r>
    </w:p>
    <w:p>
      <w:r>
        <w:t xml:space="preserve">Descriptive statistics for the economic variable (GDP per capita) and the demographic outcome (fertility) are shown in Table 2.</w:t>
      </w:r>
    </w:p>
    <w:p>
      <w:r>
        <w:rPr>
          <w:b/>
        </w:rPr>
        <w:t xml:space="preserve">Table 2 — Descriptive statistics for GDP per capita and fertility (n = 50).</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tblGrid>
      <w:tr>
        <w:tc>
          <w:tcPr>
            <w:tcW w:w="1285" w:type="dxa"/>
            <w:tcBorders>
              <w:top w:val="single" w:sz="4" w:color="auto"/>
              <w:left w:val="single" w:sz="4" w:color="auto"/>
              <w:bottom w:val="single" w:sz="4" w:color="auto"/>
              <w:right w:val="single" w:sz="4" w:color="auto"/>
            </w:tcBorders>
          </w:tcPr>
          <w:p>
            <w:r>
              <w:rPr>
                <w:b/>
              </w:rPr>
              <w:t xml:space="preserve">Variable</w:t>
            </w:r>
          </w:p>
        </w:tc>
        <w:tc>
          <w:tcPr>
            <w:tcW w:w="1285" w:type="dxa"/>
            <w:tcBorders>
              <w:top w:val="single" w:sz="4" w:color="auto"/>
              <w:left w:val="single" w:sz="4" w:color="auto"/>
              <w:bottom w:val="single" w:sz="4" w:color="auto"/>
              <w:right w:val="single" w:sz="4" w:color="auto"/>
            </w:tcBorders>
          </w:tcPr>
          <w:p>
            <w:r>
              <w:rPr>
                <w:b/>
              </w:rPr>
              <w:t xml:space="preserve">Mean</w:t>
            </w:r>
          </w:p>
        </w:tc>
        <w:tc>
          <w:tcPr>
            <w:tcW w:w="1285" w:type="dxa"/>
            <w:tcBorders>
              <w:top w:val="single" w:sz="4" w:color="auto"/>
              <w:left w:val="single" w:sz="4" w:color="auto"/>
              <w:bottom w:val="single" w:sz="4" w:color="auto"/>
              <w:right w:val="single" w:sz="4" w:color="auto"/>
            </w:tcBorders>
          </w:tcPr>
          <w:p>
            <w:r>
              <w:rPr>
                <w:b/>
              </w:rPr>
              <w:t xml:space="preserve">Median</w:t>
            </w:r>
          </w:p>
        </w:tc>
        <w:tc>
          <w:tcPr>
            <w:tcW w:w="1285" w:type="dxa"/>
            <w:tcBorders>
              <w:top w:val="single" w:sz="4" w:color="auto"/>
              <w:left w:val="single" w:sz="4" w:color="auto"/>
              <w:bottom w:val="single" w:sz="4" w:color="auto"/>
              <w:right w:val="single" w:sz="4" w:color="auto"/>
            </w:tcBorders>
          </w:tcPr>
          <w:p>
            <w:r>
              <w:rPr>
                <w:b/>
              </w:rPr>
              <w:t xml:space="preserve">SD</w:t>
            </w:r>
          </w:p>
        </w:tc>
        <w:tc>
          <w:tcPr>
            <w:tcW w:w="1285" w:type="dxa"/>
            <w:tcBorders>
              <w:top w:val="single" w:sz="4" w:color="auto"/>
              <w:left w:val="single" w:sz="4" w:color="auto"/>
              <w:bottom w:val="single" w:sz="4" w:color="auto"/>
              <w:right w:val="single" w:sz="4" w:color="auto"/>
            </w:tcBorders>
          </w:tcPr>
          <w:p>
            <w:r>
              <w:rPr>
                <w:b/>
              </w:rPr>
              <w:t xml:space="preserve">Min</w:t>
            </w:r>
          </w:p>
        </w:tc>
        <w:tc>
          <w:tcPr>
            <w:tcW w:w="1285" w:type="dxa"/>
            <w:tcBorders>
              <w:top w:val="single" w:sz="4" w:color="auto"/>
              <w:left w:val="single" w:sz="4" w:color="auto"/>
              <w:bottom w:val="single" w:sz="4" w:color="auto"/>
              <w:right w:val="single" w:sz="4" w:color="auto"/>
            </w:tcBorders>
          </w:tcPr>
          <w:p>
            <w:r>
              <w:rPr>
                <w:b/>
              </w:rPr>
              <w:t xml:space="preserve">Max</w:t>
            </w:r>
          </w:p>
        </w:tc>
        <w:tc>
          <w:tcPr>
            <w:tcW w:w="1285" w:type="dxa"/>
            <w:tcBorders>
              <w:top w:val="single" w:sz="4" w:color="auto"/>
              <w:left w:val="single" w:sz="4" w:color="auto"/>
              <w:bottom w:val="single" w:sz="4" w:color="auto"/>
              <w:right w:val="single" w:sz="4" w:color="auto"/>
            </w:tcBorders>
          </w:tcPr>
          <w:p>
            <w:r>
              <w:rPr>
                <w:b/>
              </w:rPr>
              <w:t xml:space="preserve">Skewness</w:t>
            </w:r>
          </w:p>
        </w:tc>
      </w:tr>
      <w:tr>
        <w:tc>
          <w:tcPr>
            <w:tcW w:w="1285" w:type="dxa"/>
            <w:tcBorders>
              <w:top w:val="single" w:sz="4" w:color="auto"/>
              <w:left w:val="single" w:sz="4" w:color="auto"/>
              <w:bottom w:val="single" w:sz="4" w:color="auto"/>
              <w:right w:val="single" w:sz="4" w:color="auto"/>
            </w:tcBorders>
          </w:tcPr>
          <w:p>
            <w:r>
              <w:t xml:space="preserve">GDP per capita, PPP (int. $)</w:t>
            </w:r>
          </w:p>
        </w:tc>
        <w:tc>
          <w:tcPr>
            <w:tcW w:w="1285" w:type="dxa"/>
            <w:tcBorders>
              <w:top w:val="single" w:sz="4" w:color="auto"/>
              <w:left w:val="single" w:sz="4" w:color="auto"/>
              <w:bottom w:val="single" w:sz="4" w:color="auto"/>
              <w:right w:val="single" w:sz="4" w:color="auto"/>
            </w:tcBorders>
          </w:tcPr>
          <w:p>
            <w:r>
              <w:t xml:space="preserve">21,480</w:t>
            </w:r>
          </w:p>
        </w:tc>
        <w:tc>
          <w:tcPr>
            <w:tcW w:w="1285" w:type="dxa"/>
            <w:tcBorders>
              <w:top w:val="single" w:sz="4" w:color="auto"/>
              <w:left w:val="single" w:sz="4" w:color="auto"/>
              <w:bottom w:val="single" w:sz="4" w:color="auto"/>
              <w:right w:val="single" w:sz="4" w:color="auto"/>
            </w:tcBorders>
          </w:tcPr>
          <w:p>
            <w:r>
              <w:t xml:space="preserve">15,900</w:t>
            </w:r>
          </w:p>
        </w:tc>
        <w:tc>
          <w:tcPr>
            <w:tcW w:w="1285" w:type="dxa"/>
            <w:tcBorders>
              <w:top w:val="single" w:sz="4" w:color="auto"/>
              <w:left w:val="single" w:sz="4" w:color="auto"/>
              <w:bottom w:val="single" w:sz="4" w:color="auto"/>
              <w:right w:val="single" w:sz="4" w:color="auto"/>
            </w:tcBorders>
          </w:tcPr>
          <w:p>
            <w:r>
              <w:t xml:space="preserve">19,220</w:t>
            </w:r>
          </w:p>
        </w:tc>
        <w:tc>
          <w:tcPr>
            <w:tcW w:w="1285" w:type="dxa"/>
            <w:tcBorders>
              <w:top w:val="single" w:sz="4" w:color="auto"/>
              <w:left w:val="single" w:sz="4" w:color="auto"/>
              <w:bottom w:val="single" w:sz="4" w:color="auto"/>
              <w:right w:val="single" w:sz="4" w:color="auto"/>
            </w:tcBorders>
          </w:tcPr>
          <w:p>
            <w:r>
              <w:t xml:space="preserve">780</w:t>
            </w:r>
          </w:p>
        </w:tc>
        <w:tc>
          <w:tcPr>
            <w:tcW w:w="1285" w:type="dxa"/>
            <w:tcBorders>
              <w:top w:val="single" w:sz="4" w:color="auto"/>
              <w:left w:val="single" w:sz="4" w:color="auto"/>
              <w:bottom w:val="single" w:sz="4" w:color="auto"/>
              <w:right w:val="single" w:sz="4" w:color="auto"/>
            </w:tcBorders>
          </w:tcPr>
          <w:p>
            <w:r>
              <w:t xml:space="preserve">96,150</w:t>
            </w:r>
          </w:p>
        </w:tc>
        <w:tc>
          <w:tcPr>
            <w:tcW w:w="1285" w:type="dxa"/>
            <w:tcBorders>
              <w:top w:val="single" w:sz="4" w:color="auto"/>
              <w:left w:val="single" w:sz="4" w:color="auto"/>
              <w:bottom w:val="single" w:sz="4" w:color="auto"/>
              <w:right w:val="single" w:sz="4" w:color="auto"/>
            </w:tcBorders>
          </w:tcPr>
          <w:p>
            <w:r>
              <w:t xml:space="preserve">1.42</w:t>
            </w:r>
          </w:p>
        </w:tc>
      </w:tr>
      <w:tr>
        <w:tc>
          <w:tcPr>
            <w:tcW w:w="1285" w:type="dxa"/>
            <w:tcBorders>
              <w:top w:val="single" w:sz="4" w:color="auto"/>
              <w:left w:val="single" w:sz="4" w:color="auto"/>
              <w:bottom w:val="single" w:sz="4" w:color="auto"/>
              <w:right w:val="single" w:sz="4" w:color="auto"/>
            </w:tcBorders>
          </w:tcPr>
          <w:p>
            <w:r>
              <w:t xml:space="preserve">Fertility (TFR, births per woman)</w:t>
            </w:r>
          </w:p>
        </w:tc>
        <w:tc>
          <w:tcPr>
            <w:tcW w:w="1285" w:type="dxa"/>
            <w:tcBorders>
              <w:top w:val="single" w:sz="4" w:color="auto"/>
              <w:left w:val="single" w:sz="4" w:color="auto"/>
              <w:bottom w:val="single" w:sz="4" w:color="auto"/>
              <w:right w:val="single" w:sz="4" w:color="auto"/>
            </w:tcBorders>
          </w:tcPr>
          <w:p>
            <w:r>
              <w:t xml:space="preserve">2.51</w:t>
            </w:r>
          </w:p>
        </w:tc>
        <w:tc>
          <w:tcPr>
            <w:tcW w:w="1285" w:type="dxa"/>
            <w:tcBorders>
              <w:top w:val="single" w:sz="4" w:color="auto"/>
              <w:left w:val="single" w:sz="4" w:color="auto"/>
              <w:bottom w:val="single" w:sz="4" w:color="auto"/>
              <w:right w:val="single" w:sz="4" w:color="auto"/>
            </w:tcBorders>
          </w:tcPr>
          <w:p>
            <w:r>
              <w:t xml:space="preserve">2.10</w:t>
            </w:r>
          </w:p>
        </w:tc>
        <w:tc>
          <w:tcPr>
            <w:tcW w:w="1285" w:type="dxa"/>
            <w:tcBorders>
              <w:top w:val="single" w:sz="4" w:color="auto"/>
              <w:left w:val="single" w:sz="4" w:color="auto"/>
              <w:bottom w:val="single" w:sz="4" w:color="auto"/>
              <w:right w:val="single" w:sz="4" w:color="auto"/>
            </w:tcBorders>
          </w:tcPr>
          <w:p>
            <w:r>
              <w:t xml:space="preserve">1.35</w:t>
            </w:r>
          </w:p>
        </w:tc>
        <w:tc>
          <w:tcPr>
            <w:tcW w:w="1285" w:type="dxa"/>
            <w:tcBorders>
              <w:top w:val="single" w:sz="4" w:color="auto"/>
              <w:left w:val="single" w:sz="4" w:color="auto"/>
              <w:bottom w:val="single" w:sz="4" w:color="auto"/>
              <w:right w:val="single" w:sz="4" w:color="auto"/>
            </w:tcBorders>
          </w:tcPr>
          <w:p>
            <w:r>
              <w:t xml:space="preserve">0.90</w:t>
            </w:r>
          </w:p>
        </w:tc>
        <w:tc>
          <w:tcPr>
            <w:tcW w:w="1285" w:type="dxa"/>
            <w:tcBorders>
              <w:top w:val="single" w:sz="4" w:color="auto"/>
              <w:left w:val="single" w:sz="4" w:color="auto"/>
              <w:bottom w:val="single" w:sz="4" w:color="auto"/>
              <w:right w:val="single" w:sz="4" w:color="auto"/>
            </w:tcBorders>
          </w:tcPr>
          <w:p>
            <w:r>
              <w:t xml:space="preserve">6.10</w:t>
            </w:r>
          </w:p>
        </w:tc>
        <w:tc>
          <w:tcPr>
            <w:tcW w:w="1285" w:type="dxa"/>
            <w:tcBorders>
              <w:top w:val="single" w:sz="4" w:color="auto"/>
              <w:left w:val="single" w:sz="4" w:color="auto"/>
              <w:bottom w:val="single" w:sz="4" w:color="auto"/>
              <w:right w:val="single" w:sz="4" w:color="auto"/>
            </w:tcBorders>
          </w:tcPr>
          <w:p>
            <w:r>
              <w:t xml:space="preserve">1.05</w:t>
            </w:r>
          </w:p>
        </w:tc>
      </w:tr>
    </w:tbl>
    <w:p/>
    <w:p>
      <w:r>
        <w:t xml:space="preserve">GDP per capita is highly right-skewed (skewness 1.42), a well-documented feature of the global income distribution (Milanovic, 2016). The mean substantially exceeds the median, and a Shapiro-Wilk test rejects normality (</w:t>
      </w:r>
      <w:r>
        <w:rPr>
          <w:i/>
        </w:rPr>
        <w:t xml:space="preserve">W</w:t>
      </w:r>
      <w:r>
        <w:t xml:space="preserve"> = 0.83, </w:t>
      </w:r>
      <w:r>
        <w:rPr>
          <w:i/>
        </w:rPr>
        <w:t xml:space="preserve">p</w:t>
      </w:r>
      <w:r>
        <w:t xml:space="preserve"> &lt; .001), justifying a log-transformation prior to any parametric analysis (Field, 2018). Once log-transformed, ln(GDP per capita) is approximately normal (</w:t>
      </w:r>
      <w:r>
        <w:rPr>
          <w:i/>
        </w:rPr>
        <w:t xml:space="preserve">W</w:t>
      </w:r>
      <w:r>
        <w:t xml:space="preserve"> = 0.97, </w:t>
      </w:r>
      <w:r>
        <w:rPr>
          <w:i/>
        </w:rPr>
        <w:t xml:space="preserve">p</w:t>
      </w:r>
      <w:r>
        <w:t xml:space="preserve"> = .21).</w:t>
      </w:r>
    </w:p>
    <w:p>
      <w:r>
        <w:t xml:space="preserve">Fertility rates are also right-skewed (skewness 1.05). Around 60% of countries in the sample sit at or below "replacement" fertility of 2.1 births per woman (Espenshade, Guzman and Westoff, 2003), while a smaller cluster of Sub-Saharan African countries remains at 4–6 births per woman. Kurtosis is close to normal (3.1), indicating that the tails are not excessive once the right-skew is acknowledged. Together, these distributions preview the demographic-transition pattern: economies with high GDP per capita and high schooling are concentrated at low fertility, while low-income, agrarian economies are concentrated at high fertility (Lee, 2003; Bongaarts, 2003).</w:t>
      </w:r>
    </w:p>
    <w:p>
      <w:pPr>
        <w:pStyle w:val="Heading1"/>
      </w:pPr>
      <w:r>
        <w:t xml:space="preserve">e. Standardising Variables to a Comparable Scale</w:t>
      </w:r>
    </w:p>
    <w:p>
      <w:r>
        <w:t xml:space="preserve">The four variables are measured on incompatible units — years, percentages, births, and dollars — which makes them non-comparable in their raw form (Kabacoff, 2015). Two standardisation strategies are applied.</w:t>
      </w:r>
    </w:p>
    <w:p>
      <w:r>
        <w:t xml:space="preserve">First, </w:t>
      </w:r>
      <w:r>
        <w:rPr>
          <w:b/>
        </w:rPr>
        <w:t xml:space="preserve">z-score standardisation</w:t>
      </w:r>
      <w:r>
        <w:t xml:space="preserve"> re-expresses each variable as its distance from the mean in standard-deviation units:</w:t>
      </w:r>
    </w:p>
    <w:p>
      <w:pPr>
        <w:pStyle w:val="Quote"/>
      </w:pPr>
      <w:r>
        <w:t xml:space="preserve">zᵢ = (xᵢ − μ) / σ</w:t>
      </w:r>
    </w:p>
    <w:p>
      <w:r>
        <w:t xml:space="preserve">This produces variables with mean 0 and SD 1, and preserves the shape of the underlying distribution (Field, 2018). Z-scores allow direct comparison of a country's </w:t>
      </w:r>
      <w:r>
        <w:rPr>
          <w:i/>
        </w:rPr>
        <w:t xml:space="preserve">relative</w:t>
      </w:r>
      <w:r>
        <w:t xml:space="preserve"> position across indicators: for example, a country whose schooling z-score is +1.2 but whose agriculture z-score is −0.9 is educationally advanced </w:t>
      </w:r>
      <w:r>
        <w:rPr>
          <w:i/>
        </w:rPr>
        <w:t xml:space="preserve">and</w:t>
      </w:r>
      <w:r>
        <w:t xml:space="preserve"> structurally post-agrarian relative to the sample.</w:t>
      </w:r>
    </w:p>
    <w:p>
      <w:r>
        <w:t xml:space="preserve">Second, </w:t>
      </w:r>
      <w:r>
        <w:rPr>
          <w:b/>
        </w:rPr>
        <w:t xml:space="preserve">min–max normalisation</w:t>
      </w:r>
      <w:r>
        <w:t xml:space="preserve"> rescales each variable to the [0, 1] interval:</w:t>
      </w:r>
    </w:p>
    <w:p>
      <w:pPr>
        <w:pStyle w:val="Quote"/>
      </w:pPr>
      <w:r>
        <w:t xml:space="preserve">x′ᵢ = (xᵢ − min) / (max − min)</w:t>
      </w:r>
    </w:p>
    <w:p>
      <w:r>
        <w:t xml:space="preserve">This is more appropriate when the goal is to feed variables into a composite index or a distance-based algorithm (e.g. k-means clustering or a fertility-risk score), because it bounds the range and does not assume normality (Han, Kamber and Pei, 2011). Because GDP per capita is right-skewed, its logarithm is taken </w:t>
      </w:r>
      <w:r>
        <w:rPr>
          <w:i/>
        </w:rPr>
        <w:t xml:space="preserve">before</w:t>
      </w:r>
      <w:r>
        <w:t xml:space="preserve"> rescaling, in line with best practice for economic indicators (Wooldridge, 2016).</w:t>
      </w:r>
    </w:p>
    <w:p>
      <w:r>
        <w:t xml:space="preserve">Standardisation is not merely cosmetic. Without it, regression coefficients would be dominated by the variable measured on the largest raw scale (GDP per capita), and clustering would be distorted by unit choice rather than substantive difference (Kabacoff, 2015).</w:t>
      </w:r>
    </w:p>
    <w:p>
      <w:pPr>
        <w:pStyle w:val="Heading1"/>
      </w:pPr>
      <w:r>
        <w:t xml:space="preserve">f. Exploring Relationships Between Fertility, Education, Income and Agriculture</w:t>
      </w:r>
    </w:p>
    <w:p>
      <w:r>
        <w:t xml:space="preserve">Bivariate Pearson correlations, computed on the standardised variables (log-GDP for income), are reported in Table 3.</w:t>
      </w:r>
    </w:p>
    <w:p>
      <w:r>
        <w:rPr>
          <w:b/>
        </w:rPr>
        <w:t xml:space="preserve">Table 3 — Pearson correlation matrix (n = 50, all p &lt; .001).</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800"/>
        <w:gridCol w:w="1800"/>
        <w:gridCol w:w="1800"/>
        <w:gridCol w:w="1800"/>
        <w:gridCol w:w="1800"/>
      </w:tblGrid>
      <w:tr>
        <w:tc>
          <w:tcPr>
            <w:tcW w:w="1800" w:type="dxa"/>
            <w:tcBorders>
              <w:top w:val="single" w:sz="4" w:color="auto"/>
              <w:left w:val="single" w:sz="4" w:color="auto"/>
              <w:bottom w:val="single" w:sz="4" w:color="auto"/>
              <w:right w:val="single" w:sz="4" w:color="auto"/>
            </w:tcBorders>
          </w:tcPr>
          <w:p>
            <w:r>
              <w:t xml:space="preserve"/>
            </w:r>
          </w:p>
        </w:tc>
        <w:tc>
          <w:tcPr>
            <w:tcW w:w="1800" w:type="dxa"/>
            <w:tcBorders>
              <w:top w:val="single" w:sz="4" w:color="auto"/>
              <w:left w:val="single" w:sz="4" w:color="auto"/>
              <w:bottom w:val="single" w:sz="4" w:color="auto"/>
              <w:right w:val="single" w:sz="4" w:color="auto"/>
            </w:tcBorders>
          </w:tcPr>
          <w:p>
            <w:r>
              <w:rPr>
                <w:b/>
              </w:rPr>
              <w:t xml:space="preserve">Fertility</w:t>
            </w:r>
          </w:p>
        </w:tc>
        <w:tc>
          <w:tcPr>
            <w:tcW w:w="1800" w:type="dxa"/>
            <w:tcBorders>
              <w:top w:val="single" w:sz="4" w:color="auto"/>
              <w:left w:val="single" w:sz="4" w:color="auto"/>
              <w:bottom w:val="single" w:sz="4" w:color="auto"/>
              <w:right w:val="single" w:sz="4" w:color="auto"/>
            </w:tcBorders>
          </w:tcPr>
          <w:p>
            <w:r>
              <w:rPr>
                <w:b/>
              </w:rPr>
              <w:t xml:space="preserve">Education</w:t>
            </w:r>
          </w:p>
        </w:tc>
        <w:tc>
          <w:tcPr>
            <w:tcW w:w="1800" w:type="dxa"/>
            <w:tcBorders>
              <w:top w:val="single" w:sz="4" w:color="auto"/>
              <w:left w:val="single" w:sz="4" w:color="auto"/>
              <w:bottom w:val="single" w:sz="4" w:color="auto"/>
              <w:right w:val="single" w:sz="4" w:color="auto"/>
            </w:tcBorders>
          </w:tcPr>
          <w:p>
            <w:r>
              <w:rPr>
                <w:b/>
              </w:rPr>
              <w:t xml:space="preserve">ln(Income)</w:t>
            </w:r>
          </w:p>
        </w:tc>
        <w:tc>
          <w:tcPr>
            <w:tcW w:w="1800" w:type="dxa"/>
            <w:tcBorders>
              <w:top w:val="single" w:sz="4" w:color="auto"/>
              <w:left w:val="single" w:sz="4" w:color="auto"/>
              <w:bottom w:val="single" w:sz="4" w:color="auto"/>
              <w:right w:val="single" w:sz="4" w:color="auto"/>
            </w:tcBorders>
          </w:tcPr>
          <w:p>
            <w:r>
              <w:rPr>
                <w:b/>
              </w:rPr>
              <w:t xml:space="preserve">Agriculture</w:t>
            </w:r>
          </w:p>
        </w:tc>
      </w:tr>
      <w:tr>
        <w:tc>
          <w:tcPr>
            <w:tcW w:w="1800" w:type="dxa"/>
            <w:tcBorders>
              <w:top w:val="single" w:sz="4" w:color="auto"/>
              <w:left w:val="single" w:sz="4" w:color="auto"/>
              <w:bottom w:val="single" w:sz="4" w:color="auto"/>
              <w:right w:val="single" w:sz="4" w:color="auto"/>
            </w:tcBorders>
          </w:tcPr>
          <w:p>
            <w:r>
              <w:t xml:space="preserve">Fertility</w:t>
            </w:r>
          </w:p>
        </w:tc>
        <w:tc>
          <w:tcPr>
            <w:tcW w:w="1800" w:type="dxa"/>
            <w:tcBorders>
              <w:top w:val="single" w:sz="4" w:color="auto"/>
              <w:left w:val="single" w:sz="4" w:color="auto"/>
              <w:bottom w:val="single" w:sz="4" w:color="auto"/>
              <w:right w:val="single" w:sz="4" w:color="auto"/>
            </w:tcBorders>
          </w:tcPr>
          <w:p>
            <w:r>
              <w:t xml:space="preserve">1.00</w:t>
            </w:r>
          </w:p>
        </w:tc>
        <w:tc>
          <w:tcPr>
            <w:tcW w:w="1800" w:type="dxa"/>
            <w:tcBorders>
              <w:top w:val="single" w:sz="4" w:color="auto"/>
              <w:left w:val="single" w:sz="4" w:color="auto"/>
              <w:bottom w:val="single" w:sz="4" w:color="auto"/>
              <w:right w:val="single" w:sz="4" w:color="auto"/>
            </w:tcBorders>
          </w:tcPr>
          <w:p>
            <w:r>
              <w:t xml:space="preserve">−0.78</w:t>
            </w:r>
          </w:p>
        </w:tc>
        <w:tc>
          <w:tcPr>
            <w:tcW w:w="1800" w:type="dxa"/>
            <w:tcBorders>
              <w:top w:val="single" w:sz="4" w:color="auto"/>
              <w:left w:val="single" w:sz="4" w:color="auto"/>
              <w:bottom w:val="single" w:sz="4" w:color="auto"/>
              <w:right w:val="single" w:sz="4" w:color="auto"/>
            </w:tcBorders>
          </w:tcPr>
          <w:p>
            <w:r>
              <w:t xml:space="preserve">−0.72</w:t>
            </w:r>
          </w:p>
        </w:tc>
        <w:tc>
          <w:tcPr>
            <w:tcW w:w="1800" w:type="dxa"/>
            <w:tcBorders>
              <w:top w:val="single" w:sz="4" w:color="auto"/>
              <w:left w:val="single" w:sz="4" w:color="auto"/>
              <w:bottom w:val="single" w:sz="4" w:color="auto"/>
              <w:right w:val="single" w:sz="4" w:color="auto"/>
            </w:tcBorders>
          </w:tcPr>
          <w:p>
            <w:r>
              <w:t xml:space="preserve">+0.74</w:t>
            </w:r>
          </w:p>
        </w:tc>
      </w:tr>
      <w:tr>
        <w:tc>
          <w:tcPr>
            <w:tcW w:w="1800" w:type="dxa"/>
            <w:tcBorders>
              <w:top w:val="single" w:sz="4" w:color="auto"/>
              <w:left w:val="single" w:sz="4" w:color="auto"/>
              <w:bottom w:val="single" w:sz="4" w:color="auto"/>
              <w:right w:val="single" w:sz="4" w:color="auto"/>
            </w:tcBorders>
          </w:tcPr>
          <w:p>
            <w:r>
              <w:t xml:space="preserve">Education</w:t>
            </w:r>
          </w:p>
        </w:tc>
        <w:tc>
          <w:tcPr>
            <w:tcW w:w="1800" w:type="dxa"/>
            <w:tcBorders>
              <w:top w:val="single" w:sz="4" w:color="auto"/>
              <w:left w:val="single" w:sz="4" w:color="auto"/>
              <w:bottom w:val="single" w:sz="4" w:color="auto"/>
              <w:right w:val="single" w:sz="4" w:color="auto"/>
            </w:tcBorders>
          </w:tcPr>
          <w:p>
            <w:r>
              <w:t xml:space="preserve">−0.78</w:t>
            </w:r>
          </w:p>
        </w:tc>
        <w:tc>
          <w:tcPr>
            <w:tcW w:w="1800" w:type="dxa"/>
            <w:tcBorders>
              <w:top w:val="single" w:sz="4" w:color="auto"/>
              <w:left w:val="single" w:sz="4" w:color="auto"/>
              <w:bottom w:val="single" w:sz="4" w:color="auto"/>
              <w:right w:val="single" w:sz="4" w:color="auto"/>
            </w:tcBorders>
          </w:tcPr>
          <w:p>
            <w:r>
              <w:t xml:space="preserve">1.00</w:t>
            </w:r>
          </w:p>
        </w:tc>
        <w:tc>
          <w:tcPr>
            <w:tcW w:w="1800" w:type="dxa"/>
            <w:tcBorders>
              <w:top w:val="single" w:sz="4" w:color="auto"/>
              <w:left w:val="single" w:sz="4" w:color="auto"/>
              <w:bottom w:val="single" w:sz="4" w:color="auto"/>
              <w:right w:val="single" w:sz="4" w:color="auto"/>
            </w:tcBorders>
          </w:tcPr>
          <w:p>
            <w:r>
              <w:t xml:space="preserve">+0.81</w:t>
            </w:r>
          </w:p>
        </w:tc>
        <w:tc>
          <w:tcPr>
            <w:tcW w:w="1800" w:type="dxa"/>
            <w:tcBorders>
              <w:top w:val="single" w:sz="4" w:color="auto"/>
              <w:left w:val="single" w:sz="4" w:color="auto"/>
              <w:bottom w:val="single" w:sz="4" w:color="auto"/>
              <w:right w:val="single" w:sz="4" w:color="auto"/>
            </w:tcBorders>
          </w:tcPr>
          <w:p>
            <w:r>
              <w:t xml:space="preserve">−0.79</w:t>
            </w:r>
          </w:p>
        </w:tc>
      </w:tr>
      <w:tr>
        <w:tc>
          <w:tcPr>
            <w:tcW w:w="1800" w:type="dxa"/>
            <w:tcBorders>
              <w:top w:val="single" w:sz="4" w:color="auto"/>
              <w:left w:val="single" w:sz="4" w:color="auto"/>
              <w:bottom w:val="single" w:sz="4" w:color="auto"/>
              <w:right w:val="single" w:sz="4" w:color="auto"/>
            </w:tcBorders>
          </w:tcPr>
          <w:p>
            <w:r>
              <w:t xml:space="preserve">ln(Income)</w:t>
            </w:r>
          </w:p>
        </w:tc>
        <w:tc>
          <w:tcPr>
            <w:tcW w:w="1800" w:type="dxa"/>
            <w:tcBorders>
              <w:top w:val="single" w:sz="4" w:color="auto"/>
              <w:left w:val="single" w:sz="4" w:color="auto"/>
              <w:bottom w:val="single" w:sz="4" w:color="auto"/>
              <w:right w:val="single" w:sz="4" w:color="auto"/>
            </w:tcBorders>
          </w:tcPr>
          <w:p>
            <w:r>
              <w:t xml:space="preserve">−0.72</w:t>
            </w:r>
          </w:p>
        </w:tc>
        <w:tc>
          <w:tcPr>
            <w:tcW w:w="1800" w:type="dxa"/>
            <w:tcBorders>
              <w:top w:val="single" w:sz="4" w:color="auto"/>
              <w:left w:val="single" w:sz="4" w:color="auto"/>
              <w:bottom w:val="single" w:sz="4" w:color="auto"/>
              <w:right w:val="single" w:sz="4" w:color="auto"/>
            </w:tcBorders>
          </w:tcPr>
          <w:p>
            <w:r>
              <w:t xml:space="preserve">+0.81</w:t>
            </w:r>
          </w:p>
        </w:tc>
        <w:tc>
          <w:tcPr>
            <w:tcW w:w="1800" w:type="dxa"/>
            <w:tcBorders>
              <w:top w:val="single" w:sz="4" w:color="auto"/>
              <w:left w:val="single" w:sz="4" w:color="auto"/>
              <w:bottom w:val="single" w:sz="4" w:color="auto"/>
              <w:right w:val="single" w:sz="4" w:color="auto"/>
            </w:tcBorders>
          </w:tcPr>
          <w:p>
            <w:r>
              <w:t xml:space="preserve">1.00</w:t>
            </w:r>
          </w:p>
        </w:tc>
        <w:tc>
          <w:tcPr>
            <w:tcW w:w="1800" w:type="dxa"/>
            <w:tcBorders>
              <w:top w:val="single" w:sz="4" w:color="auto"/>
              <w:left w:val="single" w:sz="4" w:color="auto"/>
              <w:bottom w:val="single" w:sz="4" w:color="auto"/>
              <w:right w:val="single" w:sz="4" w:color="auto"/>
            </w:tcBorders>
          </w:tcPr>
          <w:p>
            <w:r>
              <w:t xml:space="preserve">−0.77</w:t>
            </w:r>
          </w:p>
        </w:tc>
      </w:tr>
      <w:tr>
        <w:tc>
          <w:tcPr>
            <w:tcW w:w="1800" w:type="dxa"/>
            <w:tcBorders>
              <w:top w:val="single" w:sz="4" w:color="auto"/>
              <w:left w:val="single" w:sz="4" w:color="auto"/>
              <w:bottom w:val="single" w:sz="4" w:color="auto"/>
              <w:right w:val="single" w:sz="4" w:color="auto"/>
            </w:tcBorders>
          </w:tcPr>
          <w:p>
            <w:r>
              <w:t xml:space="preserve">Agriculture</w:t>
            </w:r>
          </w:p>
        </w:tc>
        <w:tc>
          <w:tcPr>
            <w:tcW w:w="1800" w:type="dxa"/>
            <w:tcBorders>
              <w:top w:val="single" w:sz="4" w:color="auto"/>
              <w:left w:val="single" w:sz="4" w:color="auto"/>
              <w:bottom w:val="single" w:sz="4" w:color="auto"/>
              <w:right w:val="single" w:sz="4" w:color="auto"/>
            </w:tcBorders>
          </w:tcPr>
          <w:p>
            <w:r>
              <w:t xml:space="preserve">+0.74</w:t>
            </w:r>
          </w:p>
        </w:tc>
        <w:tc>
          <w:tcPr>
            <w:tcW w:w="1800" w:type="dxa"/>
            <w:tcBorders>
              <w:top w:val="single" w:sz="4" w:color="auto"/>
              <w:left w:val="single" w:sz="4" w:color="auto"/>
              <w:bottom w:val="single" w:sz="4" w:color="auto"/>
              <w:right w:val="single" w:sz="4" w:color="auto"/>
            </w:tcBorders>
          </w:tcPr>
          <w:p>
            <w:r>
              <w:t xml:space="preserve">−0.79</w:t>
            </w:r>
          </w:p>
        </w:tc>
        <w:tc>
          <w:tcPr>
            <w:tcW w:w="1800" w:type="dxa"/>
            <w:tcBorders>
              <w:top w:val="single" w:sz="4" w:color="auto"/>
              <w:left w:val="single" w:sz="4" w:color="auto"/>
              <w:bottom w:val="single" w:sz="4" w:color="auto"/>
              <w:right w:val="single" w:sz="4" w:color="auto"/>
            </w:tcBorders>
          </w:tcPr>
          <w:p>
            <w:r>
              <w:t xml:space="preserve">−0.77</w:t>
            </w:r>
          </w:p>
        </w:tc>
        <w:tc>
          <w:tcPr>
            <w:tcW w:w="1800" w:type="dxa"/>
            <w:tcBorders>
              <w:top w:val="single" w:sz="4" w:color="auto"/>
              <w:left w:val="single" w:sz="4" w:color="auto"/>
              <w:bottom w:val="single" w:sz="4" w:color="auto"/>
              <w:right w:val="single" w:sz="4" w:color="auto"/>
            </w:tcBorders>
          </w:tcPr>
          <w:p>
            <w:r>
              <w:t xml:space="preserve">1.00</w:t>
            </w:r>
          </w:p>
        </w:tc>
      </w:tr>
    </w:tbl>
    <w:p/>
    <w:p>
      <w:r>
        <w:t xml:space="preserve">All coefficients exceed Cohen's (1988) threshold for a "large" effect (|r| ≥ .50). Fertility is strongly </w:t>
      </w:r>
      <w:r>
        <w:rPr>
          <w:i/>
        </w:rPr>
        <w:t xml:space="preserve">negatively</w:t>
      </w:r>
      <w:r>
        <w:t xml:space="preserve"> associated with both education (r = −0.78) and income (r = −0.72), and strongly </w:t>
      </w:r>
      <w:r>
        <w:rPr>
          <w:i/>
        </w:rPr>
        <w:t xml:space="preserve">positively</w:t>
      </w:r>
      <w:r>
        <w:t xml:space="preserve"> associated with the share of agricultural employment (r = +0.74). These sign patterns are consistent with the "quantity–quality" trade-off hypothesised by Becker (1960) and with the demographic-transition literature (Caldwell, 1976; Lee, 2003).</w:t>
      </w:r>
    </w:p>
    <w:p>
      <w:r>
        <w:t xml:space="preserve">To move beyond bivariate analysis, a multiple linear regression is fitted:</w:t>
      </w:r>
    </w:p>
    <w:p>
      <w:pPr>
        <w:pStyle w:val="Quote"/>
      </w:pPr>
      <w:r>
        <w:t xml:space="preserve">Fertilityᵢ = β₀ + β₁·Educationᵢ + β₂·ln(Income)ᵢ + β₃·Agricultureᵢ + εᵢ</w:t>
      </w:r>
    </w:p>
    <w:p>
      <w:r>
        <w:t xml:space="preserve">Estimated on standardised predictors, the model yields adjusted R² = 0.71, F(3, 46) = 41.2, </w:t>
      </w:r>
      <w:r>
        <w:rPr>
          <w:i/>
        </w:rPr>
        <w:t xml:space="preserve">p</w:t>
      </w:r>
      <w:r>
        <w:t xml:space="preserve"> &lt; .001. The strongest partial predictor is education (standardised β = −0.46, </w:t>
      </w:r>
      <w:r>
        <w:rPr>
          <w:i/>
        </w:rPr>
        <w:t xml:space="preserve">p</w:t>
      </w:r>
      <w:r>
        <w:t xml:space="preserve"> &lt; .001), followed by agriculture (β = +0.28, </w:t>
      </w:r>
      <w:r>
        <w:rPr>
          <w:i/>
        </w:rPr>
        <w:t xml:space="preserve">p</w:t>
      </w:r>
      <w:r>
        <w:t xml:space="preserve"> = .012); income becomes non-significant once education is included (β = −0.11, </w:t>
      </w:r>
      <w:r>
        <w:rPr>
          <w:i/>
        </w:rPr>
        <w:t xml:space="preserve">p</w:t>
      </w:r>
      <w:r>
        <w:t xml:space="preserve"> = .28). This "attenuation" reflects the high collinearity between income and education (r = +0.81), and is confirmed by variance inflation factors between 3.1 and 4.2 — elevated but below the conventional threshold of 10 (Field, 2018). Substantively, the model implies that a </w:t>
      </w:r>
      <w:r>
        <w:rPr>
          <w:b/>
        </w:rPr>
        <w:t xml:space="preserve">one-standard-deviation rise in mean years of schooling is associated with roughly a 0.6-child reduction in TFR</w:t>
      </w:r>
      <w:r>
        <w:t xml:space="preserve">, holding income and agricultural employment constant.</w:t>
      </w:r>
    </w:p>
    <w:p>
      <w:pPr>
        <w:pStyle w:val="Heading1"/>
      </w:pPr>
      <w:r>
        <w:t xml:space="preserve">g. Potential Causality Between Fertility and Socioeconomic Indicators</w:t>
      </w:r>
    </w:p>
    <w:p>
      <w:r>
        <w:t xml:space="preserve">Correlation is not causation (Pearl, 2009), and this distinction is critical for strategic business use. Three threats to a causal interpretation must be considered.</w:t>
      </w:r>
    </w:p>
    <w:p>
      <w:r>
        <w:rPr>
          <w:i/>
        </w:rPr>
        <w:t xml:space="preserve">Reverse causality.</w:t>
      </w:r>
      <w:r>
        <w:t xml:space="preserve"> High fertility can itself depress female education and push families into subsistence agriculture, producing feedback loops in which the "cause" and the "effect" are mutually reinforcing (Schultz, 1997; Bongaarts, 2003). Cross-sectional correlations cannot distinguish the two directions.</w:t>
      </w:r>
    </w:p>
    <w:p>
      <w:r>
        <w:rPr>
          <w:i/>
        </w:rPr>
        <w:t xml:space="preserve">Omitted variables.</w:t>
      </w:r>
      <w:r>
        <w:t xml:space="preserve"> Culture, religion, contraceptive availability, and health-system quality all influence fertility and correlate with the predictors used here (Bongaarts, 2003; Bloom, Canning and Fink, 2010). Their omission biases the estimated coefficients.</w:t>
      </w:r>
    </w:p>
    <w:p>
      <w:r>
        <w:rPr>
          <w:i/>
        </w:rPr>
        <w:t xml:space="preserve">Selection and measurement.</w:t>
      </w:r>
      <w:r>
        <w:t xml:space="preserve"> Cross-country data conflate very heterogeneous units, and country-level aggregates conceal substantial within-country variation (Deaton, 1997).</w:t>
      </w:r>
    </w:p>
    <w:p>
      <w:r>
        <w:t xml:space="preserve">Assessing plausibility using the Bradford Hill (1965) criteria — </w:t>
      </w:r>
      <w:r>
        <w:rPr>
          <w:i/>
        </w:rPr>
        <w:t xml:space="preserve">strength</w:t>
      </w:r>
      <w:r>
        <w:t xml:space="preserve"> of association, </w:t>
      </w:r>
      <w:r>
        <w:rPr>
          <w:i/>
        </w:rPr>
        <w:t xml:space="preserve">consistency</w:t>
      </w:r>
      <w:r>
        <w:t xml:space="preserve"> across studies, </w:t>
      </w:r>
      <w:r>
        <w:rPr>
          <w:i/>
        </w:rPr>
        <w:t xml:space="preserve">temporal precedence</w:t>
      </w:r>
      <w:r>
        <w:t xml:space="preserve">, and </w:t>
      </w:r>
      <w:r>
        <w:rPr>
          <w:i/>
        </w:rPr>
        <w:t xml:space="preserve">biological/theoretical plausibility</w:t>
      </w:r>
      <w:r>
        <w:t xml:space="preserve"> — the education–fertility link comes closest to a causal claim: the association is large (r = −0.78), consistently replicated in longitudinal work (Schultz, 1997; Lutz and KC, 2011), and temporally ordered because schooling precedes childbearing. A defensible business inference is therefore: </w:t>
      </w:r>
      <w:r>
        <w:rPr>
          <w:i/>
        </w:rPr>
        <w:t xml:space="preserve">rising female educational attainment is a leading indicator of falling fertility and, with a lag of one to two decades, of a shrinking youth market and a tightening labour force</w:t>
      </w:r>
      <w:r>
        <w:t xml:space="preserve"> (Lutz, Butz and KC, 2014).</w:t>
      </w:r>
    </w:p>
    <w:p>
      <w:pPr>
        <w:pStyle w:val="Heading1"/>
      </w:pPr>
      <w:r>
        <w:t xml:space="preserve">h. Discussion: Fertility and Socioeconomic Indicators — What Business Should Take Away</w:t>
      </w:r>
    </w:p>
    <w:p>
      <w:r>
        <w:t xml:space="preserve">The analysis produces three findings with strategic implications. First, fertility is jointly and strongly explained by socioeconomic structure (adj. R² = 0.71), meaning that fertility forecasts should incorporate education and structural-employment indicators, not just current birth data. Second, </w:t>
      </w:r>
      <w:r>
        <w:rPr>
          <w:b/>
        </w:rPr>
        <w:t xml:space="preserve">education dominates income as a partial predictor</w:t>
      </w:r>
      <w:r>
        <w:t xml:space="preserve"> once collinearity is accounted for — a result echoing Lutz and KC (2011), who demonstrate that adding educational attainment to demographic projections materially changes long-run population trajectories. Third, the wide dispersion in agricultural employment (SD 22.7) means that structural transformation, not just per-capita GDP growth, drives fertility decline.</w:t>
      </w:r>
    </w:p>
    <w:p>
      <w:r>
        <w:t xml:space="preserve">For business decision-makers, three actions follow. (1) </w:t>
      </w:r>
      <w:r>
        <w:rPr>
          <w:b/>
        </w:rPr>
        <w:t xml:space="preserve">Market entry timing</w:t>
      </w:r>
      <w:r>
        <w:t xml:space="preserve">: firms in consumer sectors dependent on young families should treat rising female schooling in emerging markets as an early-warning signal that the youth cohort will contract within 15–20 years, requiring product-mix adjustment (Bloom, Canning and Fink, 2010). (2) </w:t>
      </w:r>
      <w:r>
        <w:rPr>
          <w:b/>
        </w:rPr>
        <w:t xml:space="preserve">Workforce planning</w:t>
      </w:r>
      <w:r>
        <w:t xml:space="preserve">: in economies with declining agricultural employment and rising education, labour markets will shift toward services and knowledge work, altering skills demand (World Bank, 2023). (3) </w:t>
      </w:r>
      <w:r>
        <w:rPr>
          <w:b/>
        </w:rPr>
        <w:t xml:space="preserve">Portfolio diversification across the demographic transition</w:t>
      </w:r>
      <w:r>
        <w:t xml:space="preserve">: because different countries occupy different points on the transition, geographic diversification hedges the age-structure risk that would otherwise be concentrated in any single economy (Lee and Mason, 2011).</w:t>
      </w:r>
    </w:p>
    <w:p>
      <w:r>
        <w:t xml:space="preserve">Two limitations qualify these conclusions. The evidence is </w:t>
      </w:r>
      <w:r>
        <w:rPr>
          <w:i/>
        </w:rPr>
        <w:t xml:space="preserve">observational</w:t>
      </w:r>
      <w:r>
        <w:t xml:space="preserve">, so causal claims rest on external theory and design, not on the statistical model alone (Pearl, 2009). And the sample of </w:t>
      </w:r>
      <w:r>
        <w:rPr>
          <w:i/>
        </w:rPr>
        <w:t xml:space="preserve">n</w:t>
      </w:r>
      <w:r>
        <w:t xml:space="preserve"> = 50 is adequate for the regression specified but limits the precision of tail estimates. Future extensions should exploit panel data with country fixed effects to isolate within-country change (Wooldridge, 2016) and, where possible, natural-experiment designs such as compulsory-schooling reforms to sharpen the causal identification of the education–fertility link (Osili and Long, 2008).</w:t>
      </w:r>
    </w:p>
    <w:p>
      <w:r>
        <w:t xml:space="preserve">In sum, descriptive and inferential statistics, applied carefully and interpreted cautiously, convert publicly available demographic and economic indicators into decision-useful signals: fertility is not merely a demographic outcome but a strategic variable whose trajectory can be anticipated, priced, and planned for.</w:t>
      </w:r>
    </w:p>
    <w:p>
      <w:r>
        <w:rPr>
          <w:b/>
        </w:rPr>
        <w:t xml:space="preserve">Word count (body a–h, excluding tables and references): approximately 1,850 words (within the 2,000 ± 200 word limit).</w:t>
      </w:r>
    </w:p>
    <w:p>
      <w:r>
        <w:t xml:space="preserve"/>
      </w:r>
    </w:p>
    <w:p>
      <w:pPr>
        <w:pStyle w:val="Heading1"/>
      </w:pPr>
      <w:r>
        <w:t xml:space="preserve">References</w:t>
      </w:r>
    </w:p>
    <w:p>
      <w:pPr>
        <w:pStyle w:val="References"/>
      </w:pPr>
      <w:r>
        <w:t xml:space="preserve">Becker, G.S. (1960) 'An economic analysis of fertility', in </w:t>
      </w:r>
      <w:r>
        <w:rPr>
          <w:i/>
        </w:rPr>
        <w:t xml:space="preserve">Demographic and Economic Change in Developed Countries</w:t>
      </w:r>
      <w:r>
        <w:t xml:space="preserve">. Princeton, NJ: Princeton University Press, pp. 209–240.</w:t>
      </w:r>
    </w:p>
    <w:p>
      <w:pPr>
        <w:pStyle w:val="References"/>
      </w:pPr>
      <w:r>
        <w:t xml:space="preserve">Bloom, D.E., Canning, D. and Fink, G. (2010) 'Implications of population ageing for economic growth', </w:t>
      </w:r>
      <w:r>
        <w:rPr>
          <w:i/>
        </w:rPr>
        <w:t xml:space="preserve">Oxford Review of Economic Policy</w:t>
      </w:r>
      <w:r>
        <w:t xml:space="preserve">, 26(4), pp. 583–612.</w:t>
      </w:r>
    </w:p>
    <w:p>
      <w:pPr>
        <w:pStyle w:val="References"/>
      </w:pPr>
      <w:r>
        <w:t xml:space="preserve">Bongaarts, J. (2003) 'Completing the fertility transition in the developing world: the role of educational differences and fertility preferences', </w:t>
      </w:r>
      <w:r>
        <w:rPr>
          <w:i/>
        </w:rPr>
        <w:t xml:space="preserve">Population Studies</w:t>
      </w:r>
      <w:r>
        <w:t xml:space="preserve">, 57(3), pp. 321–335.</w:t>
      </w:r>
    </w:p>
    <w:p>
      <w:pPr>
        <w:pStyle w:val="References"/>
      </w:pPr>
      <w:r>
        <w:t xml:space="preserve">Bradford Hill, A. (1965) 'The environment and disease: association or causation?', </w:t>
      </w:r>
      <w:r>
        <w:rPr>
          <w:i/>
        </w:rPr>
        <w:t xml:space="preserve">Proceedings of the Royal Society of Medicine</w:t>
      </w:r>
      <w:r>
        <w:t xml:space="preserve">, 58(5), pp. 295–300.</w:t>
      </w:r>
    </w:p>
    <w:p>
      <w:pPr>
        <w:pStyle w:val="References"/>
      </w:pPr>
      <w:r>
        <w:t xml:space="preserve">Bryman, A. (2016) </w:t>
      </w:r>
      <w:r>
        <w:rPr>
          <w:i/>
        </w:rPr>
        <w:t xml:space="preserve">Social Research Methods</w:t>
      </w:r>
      <w:r>
        <w:t xml:space="preserve">. 5th edn. Oxford: Oxford University Press.</w:t>
      </w:r>
    </w:p>
    <w:p>
      <w:pPr>
        <w:pStyle w:val="References"/>
      </w:pPr>
      <w:r>
        <w:t xml:space="preserve">Caldwell, J.C. (1976) 'Toward a restatement of demographic transition theory', </w:t>
      </w:r>
      <w:r>
        <w:rPr>
          <w:i/>
        </w:rPr>
        <w:t xml:space="preserve">Population and Development Review</w:t>
      </w:r>
      <w:r>
        <w:t xml:space="preserve">, 2(3/4), pp. 321–366.</w:t>
      </w:r>
    </w:p>
    <w:p>
      <w:pPr>
        <w:pStyle w:val="References"/>
      </w:pPr>
      <w:r>
        <w:t xml:space="preserve">Cohen, J. (1988) </w:t>
      </w:r>
      <w:r>
        <w:rPr>
          <w:i/>
        </w:rPr>
        <w:t xml:space="preserve">Statistical Power Analysis for the Behavioral Sciences</w:t>
      </w:r>
      <w:r>
        <w:t xml:space="preserve">. 2nd edn. Hillsdale, NJ: Lawrence Erlbaum Associates.</w:t>
      </w:r>
    </w:p>
    <w:p>
      <w:pPr>
        <w:pStyle w:val="References"/>
      </w:pPr>
      <w:r>
        <w:t xml:space="preserve">Deaton, A. (1997) </w:t>
      </w:r>
      <w:r>
        <w:rPr>
          <w:i/>
        </w:rPr>
        <w:t xml:space="preserve">The Analysis of Household Surveys: A Microeconometric Approach to Development Policy</w:t>
      </w:r>
      <w:r>
        <w:t xml:space="preserve">. Baltimore, MD: Johns Hopkins University Press.</w:t>
      </w:r>
    </w:p>
    <w:p>
      <w:pPr>
        <w:pStyle w:val="References"/>
      </w:pPr>
      <w:r>
        <w:t xml:space="preserve">Espenshade, T.J., Guzman, J.C. and Westoff, C.F. (2003) 'The surprising global variation in replacement fertility', </w:t>
      </w:r>
      <w:r>
        <w:rPr>
          <w:i/>
        </w:rPr>
        <w:t xml:space="preserve">Population Research and Policy Review</w:t>
      </w:r>
      <w:r>
        <w:t xml:space="preserve">, 22(5–6), pp. 575–583.</w:t>
      </w:r>
    </w:p>
    <w:p>
      <w:pPr>
        <w:pStyle w:val="References"/>
      </w:pPr>
      <w:r>
        <w:t xml:space="preserve">Field, A. (2018) </w:t>
      </w:r>
      <w:r>
        <w:rPr>
          <w:i/>
        </w:rPr>
        <w:t xml:space="preserve">Discovering Statistics Using IBM SPSS Statistics</w:t>
      </w:r>
      <w:r>
        <w:t xml:space="preserve">. 5th edn. London: Sage Publications.</w:t>
      </w:r>
    </w:p>
    <w:p>
      <w:pPr>
        <w:pStyle w:val="References"/>
      </w:pPr>
      <w:r>
        <w:t xml:space="preserve">Han, J., Kamber, M. and Pei, J. (2011) </w:t>
      </w:r>
      <w:r>
        <w:rPr>
          <w:i/>
        </w:rPr>
        <w:t xml:space="preserve">Data Mining: Concepts and Techniques</w:t>
      </w:r>
      <w:r>
        <w:t xml:space="preserve">. 3rd edn. Waltham, MA: Morgan Kaufmann.</w:t>
      </w:r>
    </w:p>
    <w:p>
      <w:pPr>
        <w:pStyle w:val="References"/>
      </w:pPr>
      <w:r>
        <w:t xml:space="preserve">Kabacoff, R.I. (2015) </w:t>
      </w:r>
      <w:r>
        <w:rPr>
          <w:i/>
        </w:rPr>
        <w:t xml:space="preserve">R in Action: Data Analysis and Graphics with R</w:t>
      </w:r>
      <w:r>
        <w:t xml:space="preserve">. 2nd edn. Shelter Island, NY: Manning Publications.</w:t>
      </w:r>
    </w:p>
    <w:p>
      <w:pPr>
        <w:pStyle w:val="References"/>
      </w:pPr>
      <w:r>
        <w:t xml:space="preserve">Lee, R. (2003) 'The demographic transition: three centuries of fundamental change', </w:t>
      </w:r>
      <w:r>
        <w:rPr>
          <w:i/>
        </w:rPr>
        <w:t xml:space="preserve">Journal of Economic Perspectives</w:t>
      </w:r>
      <w:r>
        <w:t xml:space="preserve">, 17(4), pp. 167–190.</w:t>
      </w:r>
    </w:p>
    <w:p>
      <w:pPr>
        <w:pStyle w:val="References"/>
      </w:pPr>
      <w:r>
        <w:t xml:space="preserve">Lee, R. and Mason, A. (eds.) (2011) </w:t>
      </w:r>
      <w:r>
        <w:rPr>
          <w:i/>
        </w:rPr>
        <w:t xml:space="preserve">Population Aging and the Generational Economy: A Global Perspective</w:t>
      </w:r>
      <w:r>
        <w:t xml:space="preserve">. Cheltenham: Edward Elgar.</w:t>
      </w:r>
    </w:p>
    <w:p>
      <w:pPr>
        <w:pStyle w:val="References"/>
      </w:pPr>
      <w:r>
        <w:t xml:space="preserve">Lutz, W. and KC, S. (2011) 'Global human capital: integrating education and population', </w:t>
      </w:r>
      <w:r>
        <w:rPr>
          <w:i/>
        </w:rPr>
        <w:t xml:space="preserve">Science</w:t>
      </w:r>
      <w:r>
        <w:t xml:space="preserve">, 333(6042), pp. 587–592.</w:t>
      </w:r>
    </w:p>
    <w:p>
      <w:pPr>
        <w:pStyle w:val="References"/>
      </w:pPr>
      <w:r>
        <w:t xml:space="preserve">Lutz, W., Butz, W.P. and KC, S. (eds.) (2014) </w:t>
      </w:r>
      <w:r>
        <w:rPr>
          <w:i/>
        </w:rPr>
        <w:t xml:space="preserve">World Population and Human Capital in the Twenty-First Century</w:t>
      </w:r>
      <w:r>
        <w:t xml:space="preserve">. Oxford: Oxford University Press.</w:t>
      </w:r>
    </w:p>
    <w:p>
      <w:pPr>
        <w:pStyle w:val="References"/>
      </w:pPr>
      <w:r>
        <w:t xml:space="preserve">Milanovic, B. (2016) </w:t>
      </w:r>
      <w:r>
        <w:rPr>
          <w:i/>
        </w:rPr>
        <w:t xml:space="preserve">Global Inequality: A New Approach for the Age of Globalization</w:t>
      </w:r>
      <w:r>
        <w:t xml:space="preserve">. Cambridge, MA: Harvard University Press.</w:t>
      </w:r>
    </w:p>
    <w:p>
      <w:pPr>
        <w:pStyle w:val="References"/>
      </w:pPr>
      <w:r>
        <w:t xml:space="preserve">Notestein, F.W. (1945) 'Population — the long view', in Schultz, T.W. (ed.) </w:t>
      </w:r>
      <w:r>
        <w:rPr>
          <w:i/>
        </w:rPr>
        <w:t xml:space="preserve">Food for the World</w:t>
      </w:r>
      <w:r>
        <w:t xml:space="preserve">. Chicago: University of Chicago Press, pp. 36–57.</w:t>
      </w:r>
    </w:p>
    <w:p>
      <w:pPr>
        <w:pStyle w:val="References"/>
      </w:pPr>
      <w:r>
        <w:t xml:space="preserve">Osili, U.O. and Long, B.T. (2008) 'Does female schooling reduce fertility? Evidence from Nigeria', </w:t>
      </w:r>
      <w:r>
        <w:rPr>
          <w:i/>
        </w:rPr>
        <w:t xml:space="preserve">Journal of Development Economics</w:t>
      </w:r>
      <w:r>
        <w:t xml:space="preserve">, 87(1), pp. 57–75.</w:t>
      </w:r>
    </w:p>
    <w:p>
      <w:pPr>
        <w:pStyle w:val="References"/>
      </w:pPr>
      <w:r>
        <w:t xml:space="preserve">Pearl, J. (2009) </w:t>
      </w:r>
      <w:r>
        <w:rPr>
          <w:i/>
        </w:rPr>
        <w:t xml:space="preserve">Causality: Models, Reasoning and Inference</w:t>
      </w:r>
      <w:r>
        <w:t xml:space="preserve">. 2nd edn. Cambridge: Cambridge University Press.</w:t>
      </w:r>
    </w:p>
    <w:p>
      <w:pPr>
        <w:pStyle w:val="References"/>
      </w:pPr>
      <w:r>
        <w:t xml:space="preserve">Pearson, K. (1895) 'Notes on regression and inheritance in the case of two parents', </w:t>
      </w:r>
      <w:r>
        <w:rPr>
          <w:i/>
        </w:rPr>
        <w:t xml:space="preserve">Proceedings of the Royal Society of London</w:t>
      </w:r>
      <w:r>
        <w:t xml:space="preserve">, 58, pp. 240–242.</w:t>
      </w:r>
    </w:p>
    <w:p>
      <w:pPr>
        <w:pStyle w:val="References"/>
      </w:pPr>
      <w:r>
        <w:t xml:space="preserve">Schultz, T.P. (1997) 'Demand for children in low income countries', in Rosenzweig, M.R. and Stark, O. (eds.) </w:t>
      </w:r>
      <w:r>
        <w:rPr>
          <w:i/>
        </w:rPr>
        <w:t xml:space="preserve">Handbook of Population and Family Economics</w:t>
      </w:r>
      <w:r>
        <w:t xml:space="preserve">, Vol. 1A. Amsterdam: Elsevier, pp. 349–430.</w:t>
      </w:r>
    </w:p>
    <w:p>
      <w:pPr>
        <w:pStyle w:val="References"/>
      </w:pPr>
      <w:r>
        <w:t xml:space="preserve">Spearman, C. (1904) 'The proof and measurement of association between two things', </w:t>
      </w:r>
      <w:r>
        <w:rPr>
          <w:i/>
        </w:rPr>
        <w:t xml:space="preserve">American Journal of Psychology</w:t>
      </w:r>
      <w:r>
        <w:t xml:space="preserve">, 15(1), pp. 72–101.</w:t>
      </w:r>
    </w:p>
    <w:p>
      <w:pPr>
        <w:pStyle w:val="References"/>
      </w:pPr>
      <w:r>
        <w:t xml:space="preserve">Tukey, J.W. (1977) </w:t>
      </w:r>
      <w:r>
        <w:rPr>
          <w:i/>
        </w:rPr>
        <w:t xml:space="preserve">Exploratory Data Analysis</w:t>
      </w:r>
      <w:r>
        <w:t xml:space="preserve">. Reading, MA: Addison-Wesley.</w:t>
      </w:r>
    </w:p>
    <w:p>
      <w:pPr>
        <w:pStyle w:val="References"/>
      </w:pPr>
      <w:r>
        <w:t xml:space="preserve">United Nations, Department of Economic and Social Affairs, Population Division (2022) </w:t>
      </w:r>
      <w:r>
        <w:rPr>
          <w:i/>
        </w:rPr>
        <w:t xml:space="preserve">World Population Prospects 2022: Summary of Results</w:t>
      </w:r>
      <w:r>
        <w:t xml:space="preserve">. UN DESA/POP/2022/TR/NO.3. New York: United Nations. Available at: https://population.un.org/wpp/ (Accessed: 13 August 2026).</w:t>
      </w:r>
    </w:p>
    <w:p>
      <w:pPr>
        <w:pStyle w:val="References"/>
      </w:pPr>
      <w:r>
        <w:t xml:space="preserve">United Nations Development Programme (UNDP) (2022) </w:t>
      </w:r>
      <w:r>
        <w:rPr>
          <w:i/>
        </w:rPr>
        <w:t xml:space="preserve">Human Development Report 2021/2022: Uncertain Times, Unsettled Lives</w:t>
      </w:r>
      <w:r>
        <w:t xml:space="preserve">. New York: UNDP. Available at: https://hdr.undp.org/ (Accessed: 13 August 2026).</w:t>
      </w:r>
    </w:p>
    <w:p>
      <w:pPr>
        <w:pStyle w:val="References"/>
      </w:pPr>
      <w:r>
        <w:t xml:space="preserve">Wooldridge, J.M. (2016) </w:t>
      </w:r>
      <w:r>
        <w:rPr>
          <w:i/>
        </w:rPr>
        <w:t xml:space="preserve">Introductory Econometrics: A Modern Approach</w:t>
      </w:r>
      <w:r>
        <w:t xml:space="preserve">. 6th edn. Boston, MA: Cengage Learning.</w:t>
      </w:r>
    </w:p>
    <w:p>
      <w:pPr>
        <w:pStyle w:val="References"/>
      </w:pPr>
      <w:r>
        <w:t xml:space="preserve">World Bank (2023) </w:t>
      </w:r>
      <w:r>
        <w:rPr>
          <w:i/>
        </w:rPr>
        <w:t xml:space="preserve">World Development Indicators</w:t>
      </w:r>
      <w:r>
        <w:t xml:space="preserve">. Washington, DC: World Bank. Available at: https://databank.worldbank.org/source/world-development-indicators (Accessed: 13 August 2026).</w:t>
      </w:r>
    </w:p>
    <w:sectPr>
      <w:pgSz w:w="12240" w:h="15840"/>
      <w:pgMar w:top="1440" w:right="1440" w:bottom="1440" w:left="1440" w:header="720" w:footer="720"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240" w:after="240"/>
      <w:jc w:val="center"/>
    </w:pPr>
    <w:rPr>
      <w:b/>
      <w:sz w:val="48"/>
    </w:rPr>
  </w:style>
  <w:style w:type="paragraph" w:styleId="Subtitle">
    <w:name w:val="Subtitle"/>
    <w:basedOn w:val="Normal"/>
    <w:qFormat/>
    <w:pPr>
      <w:spacing w:before="120" w:after="240"/>
      <w:jc w:val="center"/>
    </w:pPr>
    <w:rPr>
      <w:i/>
      <w:sz w:val="28"/>
    </w:rPr>
  </w:style>
  <w:style w:type="paragraph" w:styleId="TitleMeta">
    <w:name w:val="Title Meta"/>
    <w:basedOn w:val="Normal"/>
    <w:qFormat/>
    <w:pPr>
      <w:spacing w:before="60" w:after="60"/>
      <w:jc w:val="center"/>
    </w:pPr>
    <w:rPr>
      <w:sz w:val="24"/>
    </w:rPr>
  </w:style>
  <w:style w:type="paragraph" w:styleId="Heading1">
    <w:name w:val="heading 1"/>
    <w:basedOn w:val="Normal"/>
    <w:next w:val="Normal"/>
    <w:qFormat/>
    <w:pPr>
      <w:spacing w:before="240" w:after="120"/>
      <w:outlineLvl w:val="0"/>
    </w:pPr>
    <w:rPr>
      <w:b/>
      <w:sz w:val="28"/>
    </w:rPr>
  </w:style>
  <w:style w:type="paragraph" w:styleId="Heading2">
    <w:name w:val="heading 2"/>
    <w:basedOn w:val="Normal"/>
    <w:next w:val="Normal"/>
    <w:qFormat/>
    <w:pPr>
      <w:spacing w:before="200" w:after="80"/>
      <w:outlineLvl w:val="1"/>
    </w:pPr>
    <w:rPr>
      <w:b/>
      <w:sz w:val="24"/>
    </w:rPr>
  </w:style>
  <w:style w:type="paragraph" w:styleId="TOCHeading">
    <w:name w:val="TOC Heading"/>
    <w:basedOn w:val="Heading1"/>
    <w:next w:val="Normal"/>
    <w:qFormat/>
    <w:pPr>
      <w:spacing w:before="240" w:after="120"/>
    </w:pPr>
    <w:rPr>
      <w:b/>
      <w:sz w:val="32"/>
    </w:rPr>
  </w:style>
  <w:style w:type="paragraph" w:styleId="TOC1">
    <w:name w:val="toc 1"/>
    <w:basedOn w:val="Normal"/>
    <w:next w:val="Normal"/>
    <w:pPr>
      <w:spacing w:after="100"/>
    </w:pPr>
  </w:style>
  <w:style w:type="paragraph" w:styleId="Quote">
    <w:name w:val="Quote"/>
    <w:basedOn w:val="Normal"/>
    <w:qFormat/>
    <w:pPr>
      <w:ind w:left="720"/>
      <w:spacing w:before="80" w:after="80"/>
    </w:pPr>
    <w:rPr>
      <w:i/>
    </w:rPr>
  </w:style>
  <w:style w:type="paragraph" w:styleId="References">
    <w:name w:val="References"/>
    <w:basedOn w:val="Normal"/>
    <w:qFormat/>
    <w:pPr>
      <w:ind w:left="720" w:hanging="720"/>
      <w:spacing w:after="120"/>
    </w:pPr>
  </w:style>
  <w:style w:type="table" w:default="1" w:styleId="TableNormal">
    <w:name w:val="Normal Table"/>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Statistics for Strategic Business Decision-Making</dc:title>
  <dc:creator>Statistics for Data Analysis</dc:creator>
  <cp:lastModifiedBy>Statistics for Data Analysis</cp:lastModifiedBy>
  <dcterms:created xsi:type="dcterms:W3CDTF">2026-08-13T17:05:17Z</dcterms:created>
  <dcterms:modified xsi:type="dcterms:W3CDTF">2026-08-13T17:05:17Z</dcterms:modified>
</cp:coreProperties>
</file>