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2D1B69"/>
          <w:sz w:val="72"/>
          <w:szCs w:val="72"/>
        </w:rPr>
        <w:t xml:space="preserve">DATAVAULT</w:t>
      </w:r>
    </w:p>
    <w:p>
      <w:pPr>
        <w:spacing w:after="40" w:before="0"/>
        <w:jc w:val="center"/>
      </w:pPr>
      <w:r>
        <w:rPr>
          <w:rFonts w:ascii="Arial" w:cs="Arial" w:eastAsia="Arial" w:hAnsi="Arial"/>
          <w:b/>
          <w:bCs/>
          <w:color w:val="EC4899"/>
          <w:sz w:val="36"/>
          <w:szCs w:val="36"/>
        </w:rPr>
        <w:t xml:space="preserve">+ SafeShare</w:t>
      </w:r>
    </w:p>
    <w:p>
      <w:pPr>
        <w:spacing w:after="120" w:before="0"/>
        <w:jc w:val="center"/>
      </w:pPr>
      <w:r>
        <w:rPr>
          <w:rFonts w:ascii="Arial" w:cs="Arial" w:eastAsia="Arial" w:hAnsi="Arial"/>
          <w:color w:val="6B7280"/>
          <w:sz w:val="28"/>
          <w:szCs w:val="28"/>
        </w:rPr>
        <w:t xml:space="preserve">Complete Hackathon Team Brief</w:t>
      </w:r>
    </w:p>
    <w:p>
      <w:pPr>
        <w:pBdr>
          <w:bottom w:val="single" w:color="EC4899" w:sz="6" w:space="1"/>
        </w:pBdr>
        <w:spacing w:after="200" w:before="200"/>
      </w:pPr>
      <w:r>
        <w:t xml:space="preserve"/>
      </w:r>
    </w:p>
    <w:p>
      <w:pPr>
        <w:spacing w:after="80" w:before="80"/>
        <w:jc w:val="center"/>
      </w:pPr>
      <w:r>
        <w:rPr>
          <w:rFonts w:ascii="Arial" w:cs="Arial" w:eastAsia="Arial" w:hAnsi="Arial"/>
          <w:b/>
          <w:bCs/>
          <w:color w:val="6B21A8"/>
          <w:sz w:val="26"/>
          <w:szCs w:val="26"/>
        </w:rPr>
        <w:t xml:space="preserve">Theme: Mass Surveillance vs Public Safety</w:t>
      </w:r>
    </w:p>
    <w:p>
      <w:pPr>
        <w:spacing w:after="400" w:before="0"/>
        <w:jc w:val="center"/>
      </w:pPr>
      <w:r>
        <w:rPr>
          <w:rFonts w:ascii="Arial" w:cs="Arial" w:eastAsia="Arial" w:hAnsi="Arial"/>
          <w:i/>
          <w:iCs/>
          <w:color w:val="6B7280"/>
          <w:sz w:val="24"/>
          <w:szCs w:val="24"/>
        </w:rPr>
        <w:t xml:space="preserve">"Find. Fight. Firewall. — Then Share, On Your Terms."</w:t>
      </w:r>
    </w:p>
    <w:p>
      <w:pPr>
        <w:pStyle w:val="Heading1"/>
        <w:spacing w:after="160" w:before="480"/>
      </w:pPr>
      <w:r>
        <w:rPr>
          <w:rFonts w:ascii="Arial" w:cs="Arial" w:eastAsia="Arial" w:hAnsi="Arial"/>
          <w:b/>
          <w:bCs/>
          <w:color w:val="2D1B69"/>
          <w:sz w:val="40"/>
          <w:szCs w:val="40"/>
        </w:rPr>
        <w:t xml:space="preserve">01. How DataVault Satisfies The Challenge</w:t>
      </w:r>
    </w:p>
    <w:p>
      <w:pPr>
        <w:spacing w:after="100" w:before="80"/>
      </w:pPr>
      <w:r>
        <w:rPr>
          <w:rFonts w:ascii="Arial" w:cs="Arial" w:eastAsia="Arial" w:hAnsi="Arial"/>
          <w:color w:val="1E1B4B"/>
          <w:sz w:val="22"/>
          <w:szCs w:val="22"/>
        </w:rPr>
        <w:t xml:space="preserve">The hackathon challenge asks teams to explore the fine line between protecting society and sacrificing personal privacy in a hyperconnected digital world.</w:t>
      </w:r>
    </w:p>
    <w:p>
      <w:pPr>
        <w:spacing w:after="0" w:before="80"/>
      </w:pPr>
      <w:r>
        <w:t xml:space="preserve"/>
      </w:r>
    </w:p>
    <w:p>
      <w:pPr>
        <w:spacing w:after="100" w:before="80"/>
      </w:pPr>
      <w:r>
        <w:rPr>
          <w:rFonts w:ascii="Arial" w:cs="Arial" w:eastAsia="Arial" w:hAnsi="Arial"/>
          <w:b w:val="false"/>
          <w:bCs w:val="false"/>
          <w:color w:val="1E1B4B"/>
          <w:sz w:val="22"/>
          <w:szCs w:val="22"/>
        </w:rPr>
        <w:t xml:space="preserve">Most teams will build something that argues one side. Either a surveillance tool that helps public safety, or a privacy tool that fights surveillance. DataVault + SafeShare is built explicitly on the fine line — it does both simultaneously.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8"/>
              <w:left w:val="single" w:color="6B21A8" w:sz="8"/>
              <w:bottom w:val="single" w:color="6B21A8" w:sz="8"/>
              <w:right w:val="single" w:color="6B21A8" w:sz="8"/>
            </w:tcBorders>
            <w:shd w:fill="EDE9FE" w:val="clear"/>
            <w:tcMar>
              <w:top w:type="dxa" w:w="160"/>
              <w:left w:type="dxa" w:w="200"/>
              <w:bottom w:type="dxa" w:w="160"/>
              <w:right w:type="dxa" w:w="200"/>
            </w:tcMar>
          </w:tcPr>
          <w:p>
            <w:pPr>
              <w:spacing w:after="60" w:before="0"/>
            </w:pPr>
            <w:r>
              <w:rPr>
                <w:rFonts w:ascii="Arial" w:cs="Arial" w:eastAsia="Arial" w:hAnsi="Arial"/>
                <w:b/>
                <w:bCs/>
                <w:color w:val="6B21A8"/>
                <w:sz w:val="22"/>
                <w:szCs w:val="22"/>
              </w:rPr>
              <w:t xml:space="preserve">THE FINE LINE — ANSWERED DIRECTLY</w:t>
            </w:r>
          </w:p>
          <w:p>
            <w:pPr>
              <w:spacing w:after="0" w:before="40"/>
            </w:pPr>
            <w:r>
              <w:rPr>
                <w:rFonts w:ascii="Arial" w:cs="Arial" w:eastAsia="Arial" w:hAnsi="Arial"/>
                <w:color w:val="1E1B4B"/>
                <w:sz w:val="21"/>
                <w:szCs w:val="21"/>
              </w:rPr>
              <w:t xml:space="preserve">DataVault protects personal privacy by fighting data brokers and surveillance overreach. SafeShare then lets citizens voluntarily contribute anonymized data to public safety initiatives — on their own terms, with full auditability. The tension is not resolved by picking a side. It is resolved by giving citizens the power to decide where the line is for themselves.</w:t>
            </w:r>
          </w:p>
        </w:tc>
      </w:tr>
    </w:tbl>
    <w:p>
      <w:pPr>
        <w:spacing w:after="0" w:before="160"/>
      </w:pPr>
      <w:r>
        <w:t xml:space="preserve"/>
      </w:r>
    </w:p>
    <w:p>
      <w:pPr>
        <w:pStyle w:val="Heading3"/>
        <w:spacing w:after="80" w:before="240"/>
      </w:pPr>
      <w:r>
        <w:rPr>
          <w:rFonts w:ascii="Arial" w:cs="Arial" w:eastAsia="Arial" w:hAnsi="Arial"/>
          <w:b/>
          <w:bCs/>
          <w:color w:val="1E1B4B"/>
          <w:sz w:val="26"/>
          <w:szCs w:val="26"/>
        </w:rPr>
        <w:t xml:space="preserve">Why this framing wins:</w:t>
      </w:r>
    </w:p>
    <w:p>
      <w:pPr>
        <w:pStyle w:val="ListParagraph"/>
        <w:numPr>
          <w:ilvl w:val="0"/>
          <w:numId w:val="2"/>
        </w:numPr>
        <w:spacing w:after="60" w:before="60"/>
      </w:pPr>
      <w:r>
        <w:rPr>
          <w:rFonts w:ascii="Arial" w:cs="Arial" w:eastAsia="Arial" w:hAnsi="Arial"/>
          <w:b w:val="false"/>
          <w:bCs w:val="false"/>
          <w:color w:val="1E1B4B"/>
          <w:sz w:val="22"/>
          <w:szCs w:val="22"/>
        </w:rPr>
        <w:t xml:space="preserve">You acknowledge both sides of the problem — judges who care about safety AND privacy are both satisfied</w:t>
      </w:r>
    </w:p>
    <w:p>
      <w:pPr>
        <w:pStyle w:val="ListParagraph"/>
        <w:numPr>
          <w:ilvl w:val="0"/>
          <w:numId w:val="2"/>
        </w:numPr>
        <w:spacing w:after="60" w:before="60"/>
      </w:pPr>
      <w:r>
        <w:rPr>
          <w:rFonts w:ascii="Arial" w:cs="Arial" w:eastAsia="Arial" w:hAnsi="Arial"/>
          <w:b w:val="false"/>
          <w:bCs w:val="false"/>
          <w:color w:val="1E1B4B"/>
          <w:sz w:val="22"/>
          <w:szCs w:val="22"/>
        </w:rPr>
        <w:t xml:space="preserve">You solve the harder version of the challenge — not "privacy vs surveillance" but "how can both coexist"</w:t>
      </w:r>
    </w:p>
    <w:p>
      <w:pPr>
        <w:pStyle w:val="ListParagraph"/>
        <w:numPr>
          <w:ilvl w:val="0"/>
          <w:numId w:val="2"/>
        </w:numPr>
        <w:spacing w:after="60" w:before="60"/>
      </w:pPr>
      <w:r>
        <w:rPr>
          <w:rFonts w:ascii="Arial" w:cs="Arial" w:eastAsia="Arial" w:hAnsi="Arial"/>
          <w:b w:val="false"/>
          <w:bCs w:val="false"/>
          <w:color w:val="1E1B4B"/>
          <w:sz w:val="22"/>
          <w:szCs w:val="22"/>
        </w:rPr>
        <w:t xml:space="preserve">SafeShare is the bridge — it makes DataVault a dual-sided solution, not a one-sided argument</w:t>
      </w:r>
    </w:p>
    <w:p>
      <w:pPr>
        <w:pStyle w:val="ListParagraph"/>
        <w:numPr>
          <w:ilvl w:val="0"/>
          <w:numId w:val="2"/>
        </w:numPr>
        <w:spacing w:after="60" w:before="60"/>
      </w:pPr>
      <w:r>
        <w:rPr>
          <w:rFonts w:ascii="Arial" w:cs="Arial" w:eastAsia="Arial" w:hAnsi="Arial"/>
          <w:b w:val="false"/>
          <w:bCs w:val="false"/>
          <w:color w:val="1E1B4B"/>
          <w:sz w:val="22"/>
          <w:szCs w:val="22"/>
        </w:rPr>
        <w:t xml:space="preserve">Every judging criterion is satisfied — see Section 07 for the complete breakdown</w:t>
      </w:r>
    </w:p>
    <w:p>
      <w:pPr>
        <w:pBdr>
          <w:bottom w:val="single" w:color="E5E7EB" w:sz="6" w:space="1"/>
        </w:pBdr>
        <w:spacing w:after="200" w:before="200"/>
      </w:pPr>
      <w:r>
        <w:t xml:space="preserve"/>
      </w:r>
    </w:p>
    <w:p>
      <w:pPr>
        <w:pStyle w:val="Heading1"/>
        <w:spacing w:after="160" w:before="480"/>
      </w:pPr>
      <w:r>
        <w:rPr>
          <w:rFonts w:ascii="Arial" w:cs="Arial" w:eastAsia="Arial" w:hAnsi="Arial"/>
          <w:b/>
          <w:bCs/>
          <w:color w:val="2D1B69"/>
          <w:sz w:val="40"/>
          <w:szCs w:val="40"/>
        </w:rPr>
        <w:t xml:space="preserve">02. The Real Public Problem</w:t>
      </w:r>
    </w:p>
    <w:p>
      <w:pPr>
        <w:spacing w:after="100" w:before="80"/>
      </w:pPr>
      <w:r>
        <w:rPr>
          <w:rFonts w:ascii="Arial" w:cs="Arial" w:eastAsia="Arial" w:hAnsi="Arial"/>
          <w:color w:val="1E1B4B"/>
          <w:sz w:val="22"/>
          <w:szCs w:val="22"/>
        </w:rPr>
        <w:t xml:space="preserve">You did not sign up for this. But it is already happening.</w:t>
      </w:r>
    </w:p>
    <w:p>
      <w:pPr>
        <w:spacing w:after="0" w:before="80"/>
      </w:pPr>
      <w:r>
        <w:t xml:space="preserve"/>
      </w:r>
    </w:p>
    <w:p>
      <w:pPr>
        <w:spacing w:after="100" w:before="80"/>
      </w:pPr>
      <w:r>
        <w:rPr>
          <w:rFonts w:ascii="Arial" w:cs="Arial" w:eastAsia="Arial" w:hAnsi="Arial"/>
          <w:color w:val="1E1B4B"/>
          <w:sz w:val="22"/>
          <w:szCs w:val="22"/>
        </w:rPr>
        <w:t xml:space="preserve">Right now, companies called data brokers are buying, packaging, and selling detailed profiles of you — your home address, phone number, income estimate, health conditions, political views, shopping habits, relationship status, and daily movement patterns — to anyone willing to pay.</w:t>
      </w:r>
    </w:p>
    <w:p>
      <w:pPr>
        <w:spacing w:after="0" w:before="120"/>
      </w:pPr>
      <w:r>
        <w:t xml:space="preserve"/>
      </w:r>
    </w:p>
    <w:p>
      <w:pPr>
        <w:pStyle w:val="Heading2"/>
        <w:pBdr>
          <w:bottom w:val="single" w:color="DC2626" w:sz="4" w:space="4"/>
        </w:pBdr>
        <w:spacing w:after="120" w:before="360"/>
      </w:pPr>
      <w:r>
        <w:rPr>
          <w:rFonts w:ascii="Arial" w:cs="Arial" w:eastAsia="Arial" w:hAnsi="Arial"/>
          <w:b/>
          <w:bCs/>
          <w:color w:val="DC2626"/>
          <w:sz w:val="30"/>
          <w:szCs w:val="30"/>
        </w:rPr>
        <w:t xml:space="preserve">The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r>
              <w:rPr>
                <w:rFonts w:ascii="Arial" w:cs="Arial" w:eastAsia="Arial" w:hAnsi="Arial"/>
                <w:b/>
                <w:bCs/>
                <w:color w:val="FFFFFF"/>
                <w:sz w:val="22"/>
                <w:szCs w:val="22"/>
              </w:rPr>
              <w:t xml:space="preserve">The Numbers</w:t>
            </w:r>
          </w:p>
        </w:tc>
        <w:tc>
          <w:tcPr>
            <w:tcW w:type="dxa" w:w="4680"/>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r>
              <w:rPr>
                <w:rFonts w:ascii="Arial" w:cs="Arial" w:eastAsia="Arial" w:hAnsi="Arial"/>
                <w:b/>
                <w:bCs/>
                <w:color w:val="FFFFFF"/>
                <w:sz w:val="22"/>
                <w:szCs w:val="22"/>
              </w:rPr>
              <w:t xml:space="preserve">Who Buys Your Data</w:t>
            </w:r>
          </w:p>
        </w:tc>
      </w:tr>
      <w:tr>
        <w:tc>
          <w:tcPr>
            <w:tcW w:type="dxa" w:w="468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color w:val="1E1B4B"/>
                <w:sz w:val="21"/>
                <w:szCs w:val="21"/>
              </w:rPr>
              <w:t xml:space="preserve">4,000+ data broker companies globally</w:t>
            </w:r>
          </w:p>
        </w:tc>
        <w:tc>
          <w:tcPr>
            <w:tcW w:type="dxa" w:w="468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color w:val="1E1B4B"/>
                <w:sz w:val="21"/>
                <w:szCs w:val="21"/>
              </w:rPr>
              <w:t xml:space="preserve">Advertisers and marketers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E1B4B"/>
                <w:sz w:val="21"/>
                <w:szCs w:val="21"/>
              </w:rPr>
              <w:t xml:space="preserve">$300+ billion industry annually</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E1B4B"/>
                <w:sz w:val="21"/>
                <w:szCs w:val="21"/>
              </w:rPr>
              <w:t xml:space="preserve">Insurance companies</w:t>
            </w:r>
          </w:p>
        </w:tc>
      </w:tr>
      <w:tr>
        <w:tc>
          <w:tcPr>
            <w:tcW w:type="dxa" w:w="468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color w:val="1E1B4B"/>
                <w:sz w:val="21"/>
                <w:szCs w:val="21"/>
              </w:rPr>
              <w:t xml:space="preserve">Your data is sold hundreds of times per year</w:t>
            </w:r>
          </w:p>
        </w:tc>
        <w:tc>
          <w:tcPr>
            <w:tcW w:type="dxa" w:w="468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color w:val="1E1B4B"/>
                <w:sz w:val="21"/>
                <w:szCs w:val="21"/>
              </w:rPr>
              <w:t xml:space="preserve">Landlords and employers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E1B4B"/>
                <w:sz w:val="21"/>
                <w:szCs w:val="21"/>
              </w:rPr>
              <w:t xml:space="preserve">Most people have never heard the term</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E1B4B"/>
                <w:sz w:val="21"/>
                <w:szCs w:val="21"/>
              </w:rPr>
              <w:t xml:space="preserve">Scammers and fraudsters</w:t>
            </w:r>
          </w:p>
        </w:tc>
      </w:tr>
      <w:tr>
        <w:tc>
          <w:tcPr>
            <w:tcW w:type="dxa" w:w="468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color w:val="1E1B4B"/>
                <w:sz w:val="21"/>
                <w:szCs w:val="21"/>
              </w:rPr>
              <w:t xml:space="preserve">Average opt-out time manually: 200+ hours</w:t>
            </w:r>
          </w:p>
        </w:tc>
        <w:tc>
          <w:tcPr>
            <w:tcW w:type="dxa" w:w="468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color w:val="1E1B4B"/>
                <w:sz w:val="21"/>
                <w:szCs w:val="21"/>
              </w:rPr>
              <w:t xml:space="preserve">Foreign intelligence agencies</w:t>
            </w:r>
          </w:p>
        </w:tc>
      </w:tr>
    </w:tbl>
    <w:p>
      <w:pPr>
        <w:spacing w:after="0" w:before="160"/>
      </w:pPr>
      <w:r>
        <w:t xml:space="preserve"/>
      </w:r>
    </w:p>
    <w:p>
      <w:pPr>
        <w:pStyle w:val="Heading2"/>
        <w:pBdr>
          <w:bottom w:val="single" w:color="DC2626" w:sz="4" w:space="4"/>
        </w:pBdr>
        <w:spacing w:after="120" w:before="360"/>
      </w:pPr>
      <w:r>
        <w:rPr>
          <w:rFonts w:ascii="Arial" w:cs="Arial" w:eastAsia="Arial" w:hAnsi="Arial"/>
          <w:b/>
          <w:bCs/>
          <w:color w:val="DC2626"/>
          <w:sz w:val="30"/>
          <w:szCs w:val="30"/>
        </w:rPr>
        <w:t xml:space="preserve">Where Does The Data Come From?</w:t>
      </w:r>
    </w:p>
    <w:p>
      <w:pPr>
        <w:pStyle w:val="ListParagraph"/>
        <w:numPr>
          <w:ilvl w:val="0"/>
          <w:numId w:val="2"/>
        </w:numPr>
        <w:spacing w:after="60" w:before="60"/>
      </w:pPr>
      <w:r>
        <w:rPr>
          <w:rFonts w:ascii="Arial" w:cs="Arial" w:eastAsia="Arial" w:hAnsi="Arial"/>
          <w:b w:val="false"/>
          <w:bCs w:val="false"/>
          <w:color w:val="1E1B4B"/>
          <w:sz w:val="22"/>
          <w:szCs w:val="22"/>
        </w:rPr>
        <w:t xml:space="preserve">Apps sell your location, behavior, and usage patterns without clear consent</w:t>
      </w:r>
    </w:p>
    <w:p>
      <w:pPr>
        <w:pStyle w:val="ListParagraph"/>
        <w:numPr>
          <w:ilvl w:val="0"/>
          <w:numId w:val="2"/>
        </w:numPr>
        <w:spacing w:after="60" w:before="60"/>
      </w:pPr>
      <w:r>
        <w:rPr>
          <w:rFonts w:ascii="Arial" w:cs="Arial" w:eastAsia="Arial" w:hAnsi="Arial"/>
          <w:b w:val="false"/>
          <w:bCs w:val="false"/>
          <w:color w:val="1E1B4B"/>
          <w:sz w:val="22"/>
          <w:szCs w:val="22"/>
        </w:rPr>
        <w:t xml:space="preserve">Loyalty cards sell your complete purchase history to third parties</w:t>
      </w:r>
    </w:p>
    <w:p>
      <w:pPr>
        <w:pStyle w:val="ListParagraph"/>
        <w:numPr>
          <w:ilvl w:val="0"/>
          <w:numId w:val="2"/>
        </w:numPr>
        <w:spacing w:after="60" w:before="60"/>
      </w:pPr>
      <w:r>
        <w:rPr>
          <w:rFonts w:ascii="Arial" w:cs="Arial" w:eastAsia="Arial" w:hAnsi="Arial"/>
          <w:b w:val="false"/>
          <w:bCs w:val="false"/>
          <w:color w:val="1E1B4B"/>
          <w:sz w:val="22"/>
          <w:szCs w:val="22"/>
        </w:rPr>
        <w:t xml:space="preserve">Public records — court filings, property records, voter rolls — are legally scraped</w:t>
      </w:r>
    </w:p>
    <w:p>
      <w:pPr>
        <w:pStyle w:val="ListParagraph"/>
        <w:numPr>
          <w:ilvl w:val="0"/>
          <w:numId w:val="2"/>
        </w:numPr>
        <w:spacing w:after="60" w:before="60"/>
      </w:pPr>
      <w:r>
        <w:rPr>
          <w:rFonts w:ascii="Arial" w:cs="Arial" w:eastAsia="Arial" w:hAnsi="Arial"/>
          <w:b w:val="false"/>
          <w:bCs w:val="false"/>
          <w:color w:val="1E1B4B"/>
          <w:sz w:val="22"/>
          <w:szCs w:val="22"/>
        </w:rPr>
        <w:t xml:space="preserve">Social media is mined for relationship maps and behavioral signals</w:t>
      </w:r>
    </w:p>
    <w:p>
      <w:pPr>
        <w:pStyle w:val="ListParagraph"/>
        <w:numPr>
          <w:ilvl w:val="0"/>
          <w:numId w:val="2"/>
        </w:numPr>
        <w:spacing w:after="60" w:before="60"/>
      </w:pPr>
      <w:r>
        <w:rPr>
          <w:rFonts w:ascii="Arial" w:cs="Arial" w:eastAsia="Arial" w:hAnsi="Arial"/>
          <w:b w:val="false"/>
          <w:bCs w:val="false"/>
          <w:color w:val="1E1B4B"/>
          <w:sz w:val="22"/>
          <w:szCs w:val="22"/>
        </w:rPr>
        <w:t xml:space="preserve">Internet trackers follow you across every website you visit</w:t>
      </w:r>
    </w:p>
    <w:p>
      <w:pPr>
        <w:pStyle w:val="ListParagraph"/>
        <w:numPr>
          <w:ilvl w:val="0"/>
          <w:numId w:val="2"/>
        </w:numPr>
        <w:spacing w:after="60" w:before="60"/>
      </w:pPr>
      <w:r>
        <w:rPr>
          <w:rFonts w:ascii="Arial" w:cs="Arial" w:eastAsia="Arial" w:hAnsi="Arial"/>
          <w:b w:val="false"/>
          <w:bCs w:val="false"/>
          <w:color w:val="1E1B4B"/>
          <w:sz w:val="22"/>
          <w:szCs w:val="22"/>
        </w:rPr>
        <w:t xml:space="preserve">Data breaches automatically dump your info into broker pipelines</w:t>
      </w:r>
    </w:p>
    <w:p>
      <w:pPr>
        <w:spacing w:after="0" w:before="120"/>
      </w:pPr>
      <w:r>
        <w:t xml:space="preserve"/>
      </w:r>
    </w:p>
    <w:p>
      <w:pPr>
        <w:pStyle w:val="Heading2"/>
        <w:pBdr>
          <w:bottom w:val="single" w:color="DC2626" w:sz="4" w:space="4"/>
        </w:pBdr>
        <w:spacing w:after="120" w:before="360"/>
      </w:pPr>
      <w:r>
        <w:rPr>
          <w:rFonts w:ascii="Arial" w:cs="Arial" w:eastAsia="Arial" w:hAnsi="Arial"/>
          <w:b/>
          <w:bCs/>
          <w:color w:val="DC2626"/>
          <w:sz w:val="30"/>
          <w:szCs w:val="30"/>
        </w:rPr>
        <w:t xml:space="preserve">Why Can't People Just Opt Out?</w:t>
      </w:r>
    </w:p>
    <w:p>
      <w:pPr>
        <w:spacing w:after="100" w:before="80"/>
      </w:pPr>
      <w:r>
        <w:rPr>
          <w:rFonts w:ascii="Arial" w:cs="Arial" w:eastAsia="Arial" w:hAnsi="Arial"/>
          <w:color w:val="1E1B4B"/>
          <w:sz w:val="22"/>
          <w:szCs w:val="22"/>
        </w:rPr>
        <w:t xml:space="preserve">Technically, many brokers are legally required to honor opt-out requests. In practice, this is nearly impossible:</w:t>
      </w:r>
    </w:p>
    <w:p>
      <w:pPr>
        <w:pStyle w:val="ListParagraph"/>
        <w:numPr>
          <w:ilvl w:val="0"/>
          <w:numId w:val="2"/>
        </w:numPr>
        <w:spacing w:after="60" w:before="60"/>
      </w:pPr>
      <w:r>
        <w:rPr>
          <w:rFonts w:ascii="Arial" w:cs="Arial" w:eastAsia="Arial" w:hAnsi="Arial"/>
          <w:b w:val="false"/>
          <w:bCs w:val="false"/>
          <w:color w:val="1E1B4B"/>
          <w:sz w:val="22"/>
          <w:szCs w:val="22"/>
        </w:rPr>
        <w:t xml:space="preserve">You would need to file individual requests with 4,000+ separate companies</w:t>
      </w:r>
    </w:p>
    <w:p>
      <w:pPr>
        <w:pStyle w:val="ListParagraph"/>
        <w:numPr>
          <w:ilvl w:val="0"/>
          <w:numId w:val="2"/>
        </w:numPr>
        <w:spacing w:after="60" w:before="60"/>
      </w:pPr>
      <w:r>
        <w:rPr>
          <w:rFonts w:ascii="Arial" w:cs="Arial" w:eastAsia="Arial" w:hAnsi="Arial"/>
          <w:b w:val="false"/>
          <w:bCs w:val="false"/>
          <w:color w:val="1E1B4B"/>
          <w:sz w:val="22"/>
          <w:szCs w:val="22"/>
        </w:rPr>
        <w:t xml:space="preserve">Each has a different process — some require physical mail, notarized ID, phone calls</w:t>
      </w:r>
    </w:p>
    <w:p>
      <w:pPr>
        <w:pStyle w:val="ListParagraph"/>
        <w:numPr>
          <w:ilvl w:val="0"/>
          <w:numId w:val="2"/>
        </w:numPr>
        <w:spacing w:after="60" w:before="60"/>
      </w:pPr>
      <w:r>
        <w:rPr>
          <w:rFonts w:ascii="Arial" w:cs="Arial" w:eastAsia="Arial" w:hAnsi="Arial"/>
          <w:b w:val="false"/>
          <w:bCs w:val="false"/>
          <w:color w:val="1E1B4B"/>
          <w:sz w:val="22"/>
          <w:szCs w:val="22"/>
        </w:rPr>
        <w:t xml:space="preserve">Brokers re-acquire your data within weeks from other brokers and public sources</w:t>
      </w:r>
    </w:p>
    <w:p>
      <w:pPr>
        <w:pStyle w:val="ListParagraph"/>
        <w:numPr>
          <w:ilvl w:val="0"/>
          <w:numId w:val="2"/>
        </w:numPr>
        <w:spacing w:after="60" w:before="60"/>
      </w:pPr>
      <w:r>
        <w:rPr>
          <w:rFonts w:ascii="Arial" w:cs="Arial" w:eastAsia="Arial" w:hAnsi="Arial"/>
          <w:b w:val="false"/>
          <w:bCs w:val="false"/>
          <w:color w:val="1E1B4B"/>
          <w:sz w:val="22"/>
          <w:szCs w:val="22"/>
        </w:rPr>
        <w:t xml:space="preserve">There is no central registry, no single switch, no way to confirm compliance</w:t>
      </w:r>
    </w:p>
    <w:p>
      <w:pPr>
        <w:spacing w:after="0" w:before="120"/>
      </w:pPr>
      <w:r>
        <w:t xml:space="preserve"/>
      </w:r>
    </w:p>
    <w:p>
      <w:pPr>
        <w:pStyle w:val="Heading2"/>
        <w:pBdr>
          <w:bottom w:val="single" w:color="DC2626" w:sz="4" w:space="4"/>
        </w:pBdr>
        <w:spacing w:after="120" w:before="360"/>
      </w:pPr>
      <w:r>
        <w:rPr>
          <w:rFonts w:ascii="Arial" w:cs="Arial" w:eastAsia="Arial" w:hAnsi="Arial"/>
          <w:b/>
          <w:bCs/>
          <w:color w:val="DC2626"/>
          <w:sz w:val="30"/>
          <w:szCs w:val="30"/>
        </w:rPr>
        <w:t xml:space="preserve">Real Harm This Causes</w:t>
      </w:r>
    </w:p>
    <w:p>
      <w:pPr>
        <w:pStyle w:val="ListParagraph"/>
        <w:numPr>
          <w:ilvl w:val="0"/>
          <w:numId w:val="2"/>
        </w:numPr>
        <w:spacing w:after="60" w:before="60"/>
      </w:pPr>
      <w:r>
        <w:rPr>
          <w:rFonts w:ascii="Arial" w:cs="Arial" w:eastAsia="Arial" w:hAnsi="Arial"/>
          <w:b w:val="false"/>
          <w:bCs w:val="false"/>
          <w:color w:val="1E1B4B"/>
          <w:sz w:val="22"/>
          <w:szCs w:val="22"/>
        </w:rPr>
        <w:t xml:space="preserve">Price discrimination — insurers and lenders use profiles to charge you more</w:t>
      </w:r>
    </w:p>
    <w:p>
      <w:pPr>
        <w:pStyle w:val="ListParagraph"/>
        <w:numPr>
          <w:ilvl w:val="0"/>
          <w:numId w:val="2"/>
        </w:numPr>
        <w:spacing w:after="60" w:before="60"/>
      </w:pPr>
      <w:r>
        <w:rPr>
          <w:rFonts w:ascii="Arial" w:cs="Arial" w:eastAsia="Arial" w:hAnsi="Arial"/>
          <w:b w:val="false"/>
          <w:bCs w:val="false"/>
          <w:color w:val="1E1B4B"/>
          <w:sz w:val="22"/>
          <w:szCs w:val="22"/>
        </w:rPr>
        <w:t xml:space="preserve">Stalking and harassment — domestic abuse survivors are found through broker databases</w:t>
      </w:r>
    </w:p>
    <w:p>
      <w:pPr>
        <w:pStyle w:val="ListParagraph"/>
        <w:numPr>
          <w:ilvl w:val="0"/>
          <w:numId w:val="2"/>
        </w:numPr>
        <w:spacing w:after="60" w:before="60"/>
      </w:pPr>
      <w:r>
        <w:rPr>
          <w:rFonts w:ascii="Arial" w:cs="Arial" w:eastAsia="Arial" w:hAnsi="Arial"/>
          <w:b w:val="false"/>
          <w:bCs w:val="false"/>
          <w:color w:val="1E1B4B"/>
          <w:sz w:val="22"/>
          <w:szCs w:val="22"/>
        </w:rPr>
        <w:t xml:space="preserve">Scam targeting — elderly people are profiled by vulnerability signals and sold to scam operations</w:t>
      </w:r>
    </w:p>
    <w:p>
      <w:pPr>
        <w:pStyle w:val="ListParagraph"/>
        <w:numPr>
          <w:ilvl w:val="0"/>
          <w:numId w:val="2"/>
        </w:numPr>
        <w:spacing w:after="60" w:before="60"/>
      </w:pPr>
      <w:r>
        <w:rPr>
          <w:rFonts w:ascii="Arial" w:cs="Arial" w:eastAsia="Arial" w:hAnsi="Arial"/>
          <w:b w:val="false"/>
          <w:bCs w:val="false"/>
          <w:color w:val="1E1B4B"/>
          <w:sz w:val="22"/>
          <w:szCs w:val="22"/>
        </w:rPr>
        <w:t xml:space="preserve">Employment discrimination — hiring tools filter candidates using broker data before they are even seen</w:t>
      </w:r>
    </w:p>
    <w:p>
      <w:pPr>
        <w:pStyle w:val="ListParagraph"/>
        <w:numPr>
          <w:ilvl w:val="0"/>
          <w:numId w:val="2"/>
        </w:numPr>
        <w:spacing w:after="60" w:before="60"/>
      </w:pPr>
      <w:r>
        <w:rPr>
          <w:rFonts w:ascii="Arial" w:cs="Arial" w:eastAsia="Arial" w:hAnsi="Arial"/>
          <w:b w:val="false"/>
          <w:bCs w:val="false"/>
          <w:color w:val="1E1B4B"/>
          <w:sz w:val="22"/>
          <w:szCs w:val="22"/>
        </w:rPr>
        <w:t xml:space="preserve">Political manipulation — behavioral profiles enable hyper-targeted influence campaigns</w:t>
      </w:r>
    </w:p>
    <w:p>
      <w:pPr>
        <w:pBdr>
          <w:bottom w:val="single" w:color="E5E7EB" w:sz="6" w:space="1"/>
        </w:pBdr>
        <w:spacing w:after="200" w:before="200"/>
      </w:pPr>
      <w:r>
        <w:t xml:space="preserve"/>
      </w:r>
    </w:p>
    <w:p>
      <w:pPr>
        <w:pStyle w:val="Heading1"/>
        <w:spacing w:after="160" w:before="480"/>
      </w:pPr>
      <w:r>
        <w:rPr>
          <w:rFonts w:ascii="Arial" w:cs="Arial" w:eastAsia="Arial" w:hAnsi="Arial"/>
          <w:b/>
          <w:bCs/>
          <w:color w:val="2D1B69"/>
          <w:sz w:val="40"/>
          <w:szCs w:val="40"/>
        </w:rPr>
        <w:t xml:space="preserve">03. The Solution — DataVault + SafeShare</w:t>
      </w:r>
    </w:p>
    <w:p>
      <w:pPr>
        <w:spacing w:after="100" w:before="80"/>
      </w:pPr>
      <w:r>
        <w:rPr>
          <w:rFonts w:ascii="Arial" w:cs="Arial" w:eastAsia="Arial" w:hAnsi="Arial"/>
          <w:color w:val="1E1B4B"/>
          <w:sz w:val="22"/>
          <w:szCs w:val="22"/>
        </w:rPr>
        <w:t xml:space="preserve">DataVault is an AI-powered personal data protection agent that works continuously on your behalf to find, fight, and firewall your personal data from broker ecosystems. SafeShare adds a voluntary consent layer that lets users contribute anonymized data to public safety — bridging both sides of the challenge.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8"/>
              <w:left w:val="single" w:color="6B21A8" w:sz="8"/>
              <w:bottom w:val="single" w:color="6B21A8" w:sz="8"/>
              <w:right w:val="single" w:color="6B21A8" w:sz="8"/>
            </w:tcBorders>
            <w:shd w:fill="EDE9FE" w:val="clear"/>
            <w:tcMar>
              <w:top w:type="dxa" w:w="160"/>
              <w:left w:type="dxa" w:w="200"/>
              <w:bottom w:type="dxa" w:w="160"/>
              <w:right w:type="dxa" w:w="200"/>
            </w:tcMar>
          </w:tcPr>
          <w:p>
            <w:pPr>
              <w:spacing w:after="60" w:before="0"/>
            </w:pPr>
            <w:r>
              <w:rPr>
                <w:rFonts w:ascii="Arial" w:cs="Arial" w:eastAsia="Arial" w:hAnsi="Arial"/>
                <w:b/>
                <w:bCs/>
                <w:color w:val="6B21A8"/>
                <w:sz w:val="22"/>
                <w:szCs w:val="22"/>
              </w:rPr>
              <w:t xml:space="preserve">THE CORE LOOP</w:t>
            </w:r>
          </w:p>
          <w:p>
            <w:pPr>
              <w:spacing w:after="0" w:before="40"/>
            </w:pPr>
            <w:r>
              <w:rPr>
                <w:rFonts w:ascii="Arial" w:cs="Arial" w:eastAsia="Arial" w:hAnsi="Arial"/>
                <w:color w:val="1E1B4B"/>
                <w:sz w:val="21"/>
                <w:szCs w:val="21"/>
              </w:rPr>
              <w:t xml:space="preserve">User Onboards → AI Scans Broker Network → Risk Profile Generated → Opt-Out Letters Auto-Generated → Sent to Brokers → Compliance Tracked → Re-listing Detected → Auto Re-filed → SafeShare Consent Offered → Ongoing Shield Active</w:t>
            </w:r>
          </w:p>
        </w:tc>
      </w:tr>
    </w:tbl>
    <w:p>
      <w:pPr>
        <w:spacing w:after="0" w:before="200"/>
      </w:pPr>
      <w:r>
        <w:t xml:space="preserve"/>
      </w:r>
    </w:p>
    <w:p>
      <w:pPr>
        <w:pStyle w:val="Heading2"/>
        <w:pBdr>
          <w:bottom w:val="single" w:color="6B21A8" w:sz="4" w:space="4"/>
        </w:pBdr>
        <w:spacing w:after="120" w:before="360"/>
      </w:pPr>
      <w:r>
        <w:rPr>
          <w:rFonts w:ascii="Arial" w:cs="Arial" w:eastAsia="Arial" w:hAnsi="Arial"/>
          <w:b/>
          <w:bCs/>
          <w:color w:val="6B21A8"/>
          <w:sz w:val="30"/>
          <w:szCs w:val="30"/>
        </w:rPr>
        <w:t xml:space="preserve">Feature 1 — The Exposure Scanner</w:t>
      </w:r>
    </w:p>
    <w:p>
      <w:pPr>
        <w:spacing w:after="100" w:before="80"/>
      </w:pPr>
      <w:r>
        <w:rPr>
          <w:rFonts w:ascii="Arial" w:cs="Arial" w:eastAsia="Arial" w:hAnsi="Arial"/>
          <w:color w:val="1E1B4B"/>
          <w:sz w:val="22"/>
          <w:szCs w:val="22"/>
        </w:rPr>
        <w:t xml:space="preserve">The user enters basic identifiers: name, email, phone number, city. The system cross-references against a curated database of known data brokers and their public-facing people-search pages.</w:t>
      </w:r>
    </w:p>
    <w:p>
      <w:pPr>
        <w:spacing w:after="0" w:before="80"/>
      </w:pPr>
      <w:r>
        <w:t xml:space="preserve"/>
      </w:r>
    </w:p>
    <w:p>
      <w:pPr>
        <w:spacing w:after="100" w:before="80"/>
      </w:pPr>
      <w:r>
        <w:rPr>
          <w:rFonts w:ascii="Arial" w:cs="Arial" w:eastAsia="Arial" w:hAnsi="Arial"/>
          <w:color w:val="1E1B4B"/>
          <w:sz w:val="22"/>
          <w:szCs w:val="22"/>
        </w:rPr>
        <w:t xml:space="preserve">Output — a detailed Exposure Report:</w:t>
      </w:r>
    </w:p>
    <w:p>
      <w:pPr>
        <w:pStyle w:val="ListParagraph"/>
        <w:numPr>
          <w:ilvl w:val="0"/>
          <w:numId w:val="2"/>
        </w:numPr>
        <w:spacing w:after="60" w:before="60"/>
      </w:pPr>
      <w:r>
        <w:rPr>
          <w:rFonts w:ascii="Arial" w:cs="Arial" w:eastAsia="Arial" w:hAnsi="Arial"/>
          <w:b w:val="false"/>
          <w:bCs w:val="false"/>
          <w:color w:val="1E1B4B"/>
          <w:sz w:val="22"/>
          <w:szCs w:val="22"/>
        </w:rPr>
        <w:t xml:space="preserve">Which brokers have your data and what categories they hold</w:t>
      </w:r>
    </w:p>
    <w:p>
      <w:pPr>
        <w:pStyle w:val="ListParagraph"/>
        <w:numPr>
          <w:ilvl w:val="0"/>
          <w:numId w:val="2"/>
        </w:numPr>
        <w:spacing w:after="60" w:before="60"/>
      </w:pPr>
      <w:r>
        <w:rPr>
          <w:rFonts w:ascii="Arial" w:cs="Arial" w:eastAsia="Arial" w:hAnsi="Arial"/>
          <w:b w:val="false"/>
          <w:bCs w:val="false"/>
          <w:color w:val="1E1B4B"/>
          <w:sz w:val="22"/>
          <w:szCs w:val="22"/>
        </w:rPr>
        <w:t xml:space="preserve">A DataVault Risk Score from 0–100 based on broker tier and data sensitivity</w:t>
      </w:r>
    </w:p>
    <w:p>
      <w:pPr>
        <w:pStyle w:val="ListParagraph"/>
        <w:numPr>
          <w:ilvl w:val="0"/>
          <w:numId w:val="2"/>
        </w:numPr>
        <w:spacing w:after="60" w:before="60"/>
      </w:pPr>
      <w:r>
        <w:rPr>
          <w:rFonts w:ascii="Arial" w:cs="Arial" w:eastAsia="Arial" w:hAnsi="Arial"/>
          <w:b w:val="false"/>
          <w:bCs w:val="false"/>
          <w:color w:val="1E1B4B"/>
          <w:sz w:val="22"/>
          <w:szCs w:val="22"/>
        </w:rPr>
        <w:t xml:space="preserve">A visual breakdown of your data footprint by category</w:t>
      </w:r>
    </w:p>
    <w:p>
      <w:pPr>
        <w:pStyle w:val="ListParagraph"/>
        <w:numPr>
          <w:ilvl w:val="0"/>
          <w:numId w:val="2"/>
        </w:numPr>
        <w:spacing w:after="60" w:before="60"/>
      </w:pPr>
      <w:r>
        <w:rPr>
          <w:rFonts w:ascii="Arial" w:cs="Arial" w:eastAsia="Arial" w:hAnsi="Arial"/>
          <w:b w:val="false"/>
          <w:bCs w:val="false"/>
          <w:color w:val="1E1B4B"/>
          <w:sz w:val="22"/>
          <w:szCs w:val="22"/>
        </w:rPr>
        <w:t xml:space="preserve">Immediate emotional impact — seeing your home address on 40 broker sites is the demo moment that wins the room</w:t>
      </w:r>
    </w:p>
    <w:p>
      <w:pPr>
        <w:spacing w:after="0" w:before="160"/>
      </w:pPr>
      <w:r>
        <w:t xml:space="preserve"/>
      </w:r>
    </w:p>
    <w:p>
      <w:pPr>
        <w:pStyle w:val="Heading2"/>
        <w:pBdr>
          <w:bottom w:val="single" w:color="6B21A8" w:sz="4" w:space="4"/>
        </w:pBdr>
        <w:spacing w:after="120" w:before="360"/>
      </w:pPr>
      <w:r>
        <w:rPr>
          <w:rFonts w:ascii="Arial" w:cs="Arial" w:eastAsia="Arial" w:hAnsi="Arial"/>
          <w:b/>
          <w:bCs/>
          <w:color w:val="6B21A8"/>
          <w:sz w:val="30"/>
          <w:szCs w:val="30"/>
        </w:rPr>
        <w:t xml:space="preserve">Feature 2 — The AI Opt-Out Agent</w:t>
      </w:r>
    </w:p>
    <w:p>
      <w:pPr>
        <w:pStyle w:val="ListParagraph"/>
        <w:numPr>
          <w:ilvl w:val="0"/>
          <w:numId w:val="2"/>
        </w:numPr>
        <w:spacing w:after="60" w:before="60"/>
      </w:pPr>
      <w:r>
        <w:rPr>
          <w:rFonts w:ascii="Arial" w:cs="Arial" w:eastAsia="Arial" w:hAnsi="Arial"/>
          <w:b w:val="false"/>
          <w:bCs w:val="false"/>
          <w:color w:val="1E1B4B"/>
          <w:sz w:val="22"/>
          <w:szCs w:val="22"/>
        </w:rPr>
        <w:t xml:space="preserve">Jurisdiction detection — identifies which privacy laws apply (GDPR, CCPA, India DPDP Act)</w:t>
      </w:r>
    </w:p>
    <w:p>
      <w:pPr>
        <w:pStyle w:val="ListParagraph"/>
        <w:numPr>
          <w:ilvl w:val="0"/>
          <w:numId w:val="2"/>
        </w:numPr>
        <w:spacing w:after="60" w:before="60"/>
      </w:pPr>
      <w:r>
        <w:rPr>
          <w:rFonts w:ascii="Arial" w:cs="Arial" w:eastAsia="Arial" w:hAnsi="Arial"/>
          <w:b w:val="false"/>
          <w:bCs w:val="false"/>
          <w:color w:val="1E1B4B"/>
          <w:sz w:val="22"/>
          <w:szCs w:val="22"/>
        </w:rPr>
        <w:t xml:space="preserve">Letter generation — LLM generates legally valid, jurisdiction-specific opt-out and data deletion requests tailored per broker</w:t>
      </w:r>
    </w:p>
    <w:p>
      <w:pPr>
        <w:pStyle w:val="ListParagraph"/>
        <w:numPr>
          <w:ilvl w:val="0"/>
          <w:numId w:val="2"/>
        </w:numPr>
        <w:spacing w:after="60" w:before="60"/>
      </w:pPr>
      <w:r>
        <w:rPr>
          <w:rFonts w:ascii="Arial" w:cs="Arial" w:eastAsia="Arial" w:hAnsi="Arial"/>
          <w:b w:val="false"/>
          <w:bCs w:val="false"/>
          <w:color w:val="1E1B4B"/>
          <w:sz w:val="22"/>
          <w:szCs w:val="22"/>
        </w:rPr>
        <w:t xml:space="preserve">Auto-submission — files automatically where brokers have web forms or email submission</w:t>
      </w:r>
    </w:p>
    <w:p>
      <w:pPr>
        <w:pStyle w:val="ListParagraph"/>
        <w:numPr>
          <w:ilvl w:val="0"/>
          <w:numId w:val="2"/>
        </w:numPr>
        <w:spacing w:after="60" w:before="60"/>
      </w:pPr>
      <w:r>
        <w:rPr>
          <w:rFonts w:ascii="Arial" w:cs="Arial" w:eastAsia="Arial" w:hAnsi="Arial"/>
          <w:b w:val="false"/>
          <w:bCs w:val="false"/>
          <w:color w:val="1E1B4B"/>
          <w:sz w:val="22"/>
          <w:szCs w:val="22"/>
        </w:rPr>
        <w:t xml:space="preserve">Deadline tracking — GDPR gives 30 days, CCPA gives 45. DataVault tracks every request against legal deadlines and flags non-compliance</w:t>
      </w:r>
    </w:p>
    <w:p>
      <w:pPr>
        <w:spacing w:after="0" w:before="160"/>
      </w:pPr>
      <w:r>
        <w:t xml:space="preserve"/>
      </w:r>
    </w:p>
    <w:p>
      <w:pPr>
        <w:pStyle w:val="Heading2"/>
        <w:pBdr>
          <w:bottom w:val="single" w:color="6B21A8" w:sz="4" w:space="4"/>
        </w:pBdr>
        <w:spacing w:after="120" w:before="360"/>
      </w:pPr>
      <w:r>
        <w:rPr>
          <w:rFonts w:ascii="Arial" w:cs="Arial" w:eastAsia="Arial" w:hAnsi="Arial"/>
          <w:b/>
          <w:bCs/>
          <w:color w:val="6B21A8"/>
          <w:sz w:val="30"/>
          <w:szCs w:val="30"/>
        </w:rPr>
        <w:t xml:space="preserve">Feature 3 — The Re-listing Monitor</w:t>
      </w:r>
    </w:p>
    <w:p>
      <w:pPr>
        <w:spacing w:after="100" w:before="80"/>
      </w:pPr>
      <w:r>
        <w:rPr>
          <w:rFonts w:ascii="Arial" w:cs="Arial" w:eastAsia="Arial" w:hAnsi="Arial"/>
          <w:color w:val="1E1B4B"/>
          <w:sz w:val="22"/>
          <w:szCs w:val="22"/>
        </w:rPr>
        <w:t xml:space="preserve">This is what makes DataVault different from anything that exists. Brokers re-acquire data constantly. Even after a successful opt-out, your data reappears within weeks.</w:t>
      </w:r>
    </w:p>
    <w:p>
      <w:pPr>
        <w:pStyle w:val="ListParagraph"/>
        <w:numPr>
          <w:ilvl w:val="0"/>
          <w:numId w:val="2"/>
        </w:numPr>
        <w:spacing w:after="60" w:before="60"/>
      </w:pPr>
      <w:r>
        <w:rPr>
          <w:rFonts w:ascii="Arial" w:cs="Arial" w:eastAsia="Arial" w:hAnsi="Arial"/>
          <w:b w:val="false"/>
          <w:bCs w:val="false"/>
          <w:color w:val="1E1B4B"/>
          <w:sz w:val="22"/>
          <w:szCs w:val="22"/>
        </w:rPr>
        <w:t xml:space="preserve">Rescans broker network every 14 days</w:t>
      </w:r>
    </w:p>
    <w:p>
      <w:pPr>
        <w:pStyle w:val="ListParagraph"/>
        <w:numPr>
          <w:ilvl w:val="0"/>
          <w:numId w:val="2"/>
        </w:numPr>
        <w:spacing w:after="60" w:before="60"/>
      </w:pPr>
      <w:r>
        <w:rPr>
          <w:rFonts w:ascii="Arial" w:cs="Arial" w:eastAsia="Arial" w:hAnsi="Arial"/>
          <w:b w:val="false"/>
          <w:bCs w:val="false"/>
          <w:color w:val="1E1B4B"/>
          <w:sz w:val="22"/>
          <w:szCs w:val="22"/>
        </w:rPr>
        <w:t xml:space="preserve">Detects when previously removed data reappears</w:t>
      </w:r>
    </w:p>
    <w:p>
      <w:pPr>
        <w:pStyle w:val="ListParagraph"/>
        <w:numPr>
          <w:ilvl w:val="0"/>
          <w:numId w:val="2"/>
        </w:numPr>
        <w:spacing w:after="60" w:before="60"/>
      </w:pPr>
      <w:r>
        <w:rPr>
          <w:rFonts w:ascii="Arial" w:cs="Arial" w:eastAsia="Arial" w:hAnsi="Arial"/>
          <w:b w:val="false"/>
          <w:bCs w:val="false"/>
          <w:color w:val="1E1B4B"/>
          <w:sz w:val="22"/>
          <w:szCs w:val="22"/>
        </w:rPr>
        <w:t xml:space="preserve">Automatically re-files opt-out requests with no user action</w:t>
      </w:r>
    </w:p>
    <w:p>
      <w:pPr>
        <w:pStyle w:val="ListParagraph"/>
        <w:numPr>
          <w:ilvl w:val="0"/>
          <w:numId w:val="2"/>
        </w:numPr>
        <w:spacing w:after="60" w:before="60"/>
      </w:pPr>
      <w:r>
        <w:rPr>
          <w:rFonts w:ascii="Arial" w:cs="Arial" w:eastAsia="Arial" w:hAnsi="Arial"/>
          <w:b w:val="false"/>
          <w:bCs w:val="false"/>
          <w:color w:val="1E1B4B"/>
          <w:sz w:val="22"/>
          <w:szCs w:val="22"/>
        </w:rPr>
        <w:t xml:space="preserve">Builds a re-listing history that can be used as legal evidence of non-compliance</w:t>
      </w:r>
    </w:p>
    <w:p>
      <w:pPr>
        <w:spacing w:after="0" w:before="160"/>
      </w:pPr>
      <w:r>
        <w:t xml:space="preserve"/>
      </w:r>
    </w:p>
    <w:p>
      <w:pPr>
        <w:pStyle w:val="Heading2"/>
        <w:pBdr>
          <w:bottom w:val="single" w:color="0D9488" w:sz="4" w:space="4"/>
        </w:pBdr>
        <w:spacing w:after="120" w:before="360"/>
      </w:pPr>
      <w:r>
        <w:rPr>
          <w:rFonts w:ascii="Arial" w:cs="Arial" w:eastAsia="Arial" w:hAnsi="Arial"/>
          <w:b/>
          <w:bCs/>
          <w:color w:val="0D9488"/>
          <w:sz w:val="30"/>
          <w:szCs w:val="30"/>
        </w:rPr>
        <w:t xml:space="preserve">Feature 4 — SafeShare (The Bridge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8"/>
              <w:left w:val="single" w:color="0D9488" w:sz="8"/>
              <w:bottom w:val="single" w:color="0D9488" w:sz="8"/>
              <w:right w:val="single" w:color="0D9488" w:sz="8"/>
            </w:tcBorders>
            <w:shd w:fill="E6FFFA" w:val="clear"/>
            <w:tcMar>
              <w:top w:type="dxa" w:w="160"/>
              <w:left w:type="dxa" w:w="200"/>
              <w:bottom w:type="dxa" w:w="160"/>
              <w:right w:type="dxa" w:w="200"/>
            </w:tcMar>
          </w:tcPr>
          <w:p>
            <w:pPr>
              <w:spacing w:after="60" w:before="0"/>
            </w:pPr>
            <w:r>
              <w:rPr>
                <w:rFonts w:ascii="Arial" w:cs="Arial" w:eastAsia="Arial" w:hAnsi="Arial"/>
                <w:b/>
                <w:bCs/>
                <w:color w:val="0D9488"/>
                <w:sz w:val="22"/>
                <w:szCs w:val="22"/>
              </w:rPr>
              <w:t xml:space="preserve">WHY SAFESHARE EXISTS</w:t>
            </w:r>
          </w:p>
          <w:p>
            <w:pPr>
              <w:spacing w:after="0" w:before="40"/>
            </w:pPr>
            <w:r>
              <w:rPr>
                <w:rFonts w:ascii="Arial" w:cs="Arial" w:eastAsia="Arial" w:hAnsi="Arial"/>
                <w:color w:val="1E1B4B"/>
                <w:sz w:val="21"/>
                <w:szCs w:val="21"/>
              </w:rPr>
              <w:t xml:space="preserve">SafeShare is the feature that makes DataVault satisfy the challenge completely. The challenge asks for solutions on the fine line between public safety and privacy. SafeShare sits exactly on that line — it proves that privacy protection and public safety contribution are not mutually exclusive when the citizen is in control.</w:t>
            </w:r>
          </w:p>
        </w:tc>
      </w:tr>
    </w:tbl>
    <w:p>
      <w:pPr>
        <w:spacing w:after="0" w:before="120"/>
      </w:pPr>
      <w:r>
        <w:t xml:space="preserve"/>
      </w:r>
    </w:p>
    <w:p>
      <w:pPr>
        <w:pStyle w:val="ListParagraph"/>
        <w:numPr>
          <w:ilvl w:val="0"/>
          <w:numId w:val="2"/>
        </w:numPr>
        <w:spacing w:after="60" w:before="60"/>
      </w:pPr>
      <w:r>
        <w:rPr>
          <w:rFonts w:ascii="Arial" w:cs="Arial" w:eastAsia="Arial" w:hAnsi="Arial"/>
          <w:b w:val="false"/>
          <w:bCs w:val="false"/>
          <w:color w:val="1E1B4B"/>
          <w:sz w:val="22"/>
          <w:szCs w:val="22"/>
        </w:rPr>
        <w:t xml:space="preserve">A simple toggle in the dashboard: "Contribute to Public Safety Research"</w:t>
      </w:r>
    </w:p>
    <w:p>
      <w:pPr>
        <w:pStyle w:val="ListParagraph"/>
        <w:numPr>
          <w:ilvl w:val="0"/>
          <w:numId w:val="2"/>
        </w:numPr>
        <w:spacing w:after="60" w:before="60"/>
      </w:pPr>
      <w:r>
        <w:rPr>
          <w:rFonts w:ascii="Arial" w:cs="Arial" w:eastAsia="Arial" w:hAnsi="Arial"/>
          <w:b w:val="false"/>
          <w:bCs w:val="false"/>
          <w:color w:val="1E1B4B"/>
          <w:sz w:val="22"/>
          <w:szCs w:val="22"/>
        </w:rPr>
        <w:t xml:space="preserve">When enabled, DataVault packages a fully anonymized, aggregated version of the user's data — no names, no addresses, no identifiers</w:t>
      </w:r>
    </w:p>
    <w:p>
      <w:pPr>
        <w:pStyle w:val="ListParagraph"/>
        <w:numPr>
          <w:ilvl w:val="0"/>
          <w:numId w:val="2"/>
        </w:numPr>
        <w:spacing w:after="60" w:before="60"/>
      </w:pPr>
      <w:r>
        <w:rPr>
          <w:rFonts w:ascii="Arial" w:cs="Arial" w:eastAsia="Arial" w:hAnsi="Arial"/>
          <w:b w:val="false"/>
          <w:bCs w:val="false"/>
          <w:color w:val="1E1B4B"/>
          <w:sz w:val="22"/>
          <w:szCs w:val="22"/>
        </w:rPr>
        <w:t xml:space="preserve">This anonymized profile is shared with opted-in public safety researchers, city planners, or health agencies</w:t>
      </w:r>
    </w:p>
    <w:p>
      <w:pPr>
        <w:pStyle w:val="ListParagraph"/>
        <w:numPr>
          <w:ilvl w:val="0"/>
          <w:numId w:val="2"/>
        </w:numPr>
        <w:spacing w:after="60" w:before="60"/>
      </w:pPr>
      <w:r>
        <w:rPr>
          <w:rFonts w:ascii="Arial" w:cs="Arial" w:eastAsia="Arial" w:hAnsi="Arial"/>
          <w:b w:val="false"/>
          <w:bCs w:val="false"/>
          <w:color w:val="1E1B4B"/>
          <w:sz w:val="22"/>
          <w:szCs w:val="22"/>
        </w:rPr>
        <w:t xml:space="preserve">Every access is logged on an immutable ledger — the user can see exactly who accessed their contribution and why</w:t>
      </w:r>
    </w:p>
    <w:p>
      <w:pPr>
        <w:pStyle w:val="ListParagraph"/>
        <w:numPr>
          <w:ilvl w:val="0"/>
          <w:numId w:val="2"/>
        </w:numPr>
        <w:spacing w:after="60" w:before="60"/>
      </w:pPr>
      <w:r>
        <w:rPr>
          <w:rFonts w:ascii="Arial" w:cs="Arial" w:eastAsia="Arial" w:hAnsi="Arial"/>
          <w:b w:val="false"/>
          <w:bCs w:val="false"/>
          <w:color w:val="1E1B4B"/>
          <w:sz w:val="22"/>
          <w:szCs w:val="22"/>
        </w:rPr>
        <w:t xml:space="preserve">The user can withdraw consent at any time, and the data is immediately removed from the SafeShare pool</w:t>
      </w:r>
    </w:p>
    <w:p>
      <w:pPr>
        <w:spacing w:after="0" w:before="160"/>
      </w:pPr>
      <w:r>
        <w:t xml:space="preserve"/>
      </w:r>
    </w:p>
    <w:p>
      <w:pPr>
        <w:pStyle w:val="Heading2"/>
        <w:pBdr>
          <w:bottom w:val="single" w:color="6B21A8" w:sz="4" w:space="4"/>
        </w:pBdr>
        <w:spacing w:after="120" w:before="360"/>
      </w:pPr>
      <w:r>
        <w:rPr>
          <w:rFonts w:ascii="Arial" w:cs="Arial" w:eastAsia="Arial" w:hAnsi="Arial"/>
          <w:b/>
          <w:bCs/>
          <w:color w:val="6B21A8"/>
          <w:sz w:val="30"/>
          <w:szCs w:val="30"/>
        </w:rPr>
        <w:t xml:space="preserve">Feature 5 — The Transparency Dashboard</w:t>
      </w:r>
    </w:p>
    <w:p>
      <w:pPr>
        <w:pStyle w:val="ListParagraph"/>
        <w:numPr>
          <w:ilvl w:val="0"/>
          <w:numId w:val="2"/>
        </w:numPr>
        <w:spacing w:after="60" w:before="60"/>
      </w:pPr>
      <w:r>
        <w:rPr>
          <w:rFonts w:ascii="Arial" w:cs="Arial" w:eastAsia="Arial" w:hAnsi="Arial"/>
          <w:b w:val="false"/>
          <w:bCs w:val="false"/>
          <w:color w:val="1E1B4B"/>
          <w:sz w:val="22"/>
          <w:szCs w:val="22"/>
        </w:rPr>
        <w:t xml:space="preserve">Total brokers holding your data — before and after DataVault</w:t>
      </w:r>
    </w:p>
    <w:p>
      <w:pPr>
        <w:pStyle w:val="ListParagraph"/>
        <w:numPr>
          <w:ilvl w:val="0"/>
          <w:numId w:val="2"/>
        </w:numPr>
        <w:spacing w:after="60" w:before="60"/>
      </w:pPr>
      <w:r>
        <w:rPr>
          <w:rFonts w:ascii="Arial" w:cs="Arial" w:eastAsia="Arial" w:hAnsi="Arial"/>
          <w:b w:val="false"/>
          <w:bCs w:val="false"/>
          <w:color w:val="1E1B4B"/>
          <w:sz w:val="22"/>
          <w:szCs w:val="22"/>
        </w:rPr>
        <w:t xml:space="preserve">Opt-outs filed, pending, complied, and non-compliant</w:t>
      </w:r>
    </w:p>
    <w:p>
      <w:pPr>
        <w:pStyle w:val="ListParagraph"/>
        <w:numPr>
          <w:ilvl w:val="0"/>
          <w:numId w:val="2"/>
        </w:numPr>
        <w:spacing w:after="60" w:before="60"/>
      </w:pPr>
      <w:r>
        <w:rPr>
          <w:rFonts w:ascii="Arial" w:cs="Arial" w:eastAsia="Arial" w:hAnsi="Arial"/>
          <w:b w:val="false"/>
          <w:bCs w:val="false"/>
          <w:color w:val="1E1B4B"/>
          <w:sz w:val="22"/>
          <w:szCs w:val="22"/>
        </w:rPr>
        <w:t xml:space="preserve">Data categories exposed over time — trending down as agent works</w:t>
      </w:r>
    </w:p>
    <w:p>
      <w:pPr>
        <w:pStyle w:val="ListParagraph"/>
        <w:numPr>
          <w:ilvl w:val="0"/>
          <w:numId w:val="2"/>
        </w:numPr>
        <w:spacing w:after="60" w:before="60"/>
      </w:pPr>
      <w:r>
        <w:rPr>
          <w:rFonts w:ascii="Arial" w:cs="Arial" w:eastAsia="Arial" w:hAnsi="Arial"/>
          <w:b w:val="false"/>
          <w:bCs w:val="false"/>
          <w:color w:val="1E1B4B"/>
          <w:sz w:val="22"/>
          <w:szCs w:val="22"/>
        </w:rPr>
        <w:t xml:space="preserve">Risk Score trajectory — the emotional core of the product</w:t>
      </w:r>
    </w:p>
    <w:p>
      <w:pPr>
        <w:pStyle w:val="ListParagraph"/>
        <w:numPr>
          <w:ilvl w:val="0"/>
          <w:numId w:val="2"/>
        </w:numPr>
        <w:spacing w:after="60" w:before="60"/>
      </w:pPr>
      <w:r>
        <w:rPr>
          <w:rFonts w:ascii="Arial" w:cs="Arial" w:eastAsia="Arial" w:hAnsi="Arial"/>
          <w:b w:val="false"/>
          <w:bCs w:val="false"/>
          <w:color w:val="1E1B4B"/>
          <w:sz w:val="22"/>
          <w:szCs w:val="22"/>
        </w:rPr>
        <w:t xml:space="preserve">SafeShare contribution log — complete audit trail of public safety data usage</w:t>
      </w:r>
    </w:p>
    <w:p>
      <w:pPr>
        <w:pBdr>
          <w:bottom w:val="single" w:color="E5E7EB" w:sz="6" w:space="1"/>
        </w:pBdr>
        <w:spacing w:after="200" w:before="200"/>
      </w:pPr>
      <w:r>
        <w:t xml:space="preserve"/>
      </w:r>
    </w:p>
    <w:p>
      <w:pPr>
        <w:pStyle w:val="Heading1"/>
        <w:spacing w:after="160" w:before="480"/>
      </w:pPr>
      <w:r>
        <w:rPr>
          <w:rFonts w:ascii="Arial" w:cs="Arial" w:eastAsia="Arial" w:hAnsi="Arial"/>
          <w:b/>
          <w:bCs/>
          <w:color w:val="2D1B69"/>
          <w:sz w:val="40"/>
          <w:szCs w:val="40"/>
        </w:rPr>
        <w:t xml:space="preserve">04. Where The Data Comes From</w:t>
      </w:r>
    </w:p>
    <w:p>
      <w:pPr>
        <w:spacing w:after="100" w:before="80"/>
      </w:pPr>
      <w:r>
        <w:rPr>
          <w:rFonts w:ascii="Arial" w:cs="Arial" w:eastAsia="Arial" w:hAnsi="Arial"/>
          <w:color w:val="1E1B4B"/>
          <w:sz w:val="22"/>
          <w:szCs w:val="22"/>
        </w:rPr>
        <w:t xml:space="preserve">This is a critical practical question. Here are all your data sources, ranked by ease of access:</w:t>
      </w:r>
    </w:p>
    <w:p>
      <w:pPr>
        <w:spacing w:after="0" w:before="120"/>
      </w:pPr>
      <w:r>
        <w:t xml:space="preserve"/>
      </w:r>
    </w:p>
    <w:p>
      <w:pPr>
        <w:pStyle w:val="Heading2"/>
        <w:pBdr>
          <w:bottom w:val="single" w:color="059669" w:sz="4" w:space="4"/>
        </w:pBdr>
        <w:spacing w:after="120" w:before="360"/>
      </w:pPr>
      <w:r>
        <w:rPr>
          <w:rFonts w:ascii="Arial" w:cs="Arial" w:eastAsia="Arial" w:hAnsi="Arial"/>
          <w:b/>
          <w:bCs/>
          <w:color w:val="059669"/>
          <w:sz w:val="30"/>
          <w:szCs w:val="30"/>
        </w:rPr>
        <w:t xml:space="preserve">Tier 1 — Free, Publicly Available Right Now</w:t>
      </w:r>
    </w:p>
    <w:p>
      <w:pPr>
        <w:pStyle w:val="Heading3"/>
        <w:spacing w:after="80" w:before="240"/>
      </w:pPr>
      <w:r>
        <w:rPr>
          <w:rFonts w:ascii="Arial" w:cs="Arial" w:eastAsia="Arial" w:hAnsi="Arial"/>
          <w:b/>
          <w:bCs/>
          <w:color w:val="1E1B4B"/>
          <w:sz w:val="26"/>
          <w:szCs w:val="26"/>
        </w:rPr>
        <w:t xml:space="preserve">Known Data Broker Lists</w:t>
      </w:r>
    </w:p>
    <w:p>
      <w:pPr>
        <w:pStyle w:val="ListParagraph"/>
        <w:numPr>
          <w:ilvl w:val="0"/>
          <w:numId w:val="2"/>
        </w:numPr>
        <w:spacing w:after="60" w:before="60"/>
      </w:pPr>
      <w:r>
        <w:rPr>
          <w:rFonts w:ascii="Arial" w:cs="Arial" w:eastAsia="Arial" w:hAnsi="Arial"/>
          <w:b w:val="false"/>
          <w:bCs w:val="false"/>
          <w:color w:val="1E1B4B"/>
          <w:sz w:val="22"/>
          <w:szCs w:val="22"/>
        </w:rPr>
        <w:t xml:space="preserve">Big Ass Data Broker Opt-Out List (GitHub: yaelwrites/Big-Ass-Data-Broker-Opt-Out-List) — 200+ brokers with opt-out URLs, methods, and difficulty ratings. Free. Use this as your core broker database.</w:t>
      </w:r>
    </w:p>
    <w:p>
      <w:pPr>
        <w:pStyle w:val="ListParagraph"/>
        <w:numPr>
          <w:ilvl w:val="0"/>
          <w:numId w:val="2"/>
        </w:numPr>
        <w:spacing w:after="60" w:before="60"/>
      </w:pPr>
      <w:r>
        <w:rPr>
          <w:rFonts w:ascii="Arial" w:cs="Arial" w:eastAsia="Arial" w:hAnsi="Arial"/>
          <w:b w:val="false"/>
          <w:bCs w:val="false"/>
          <w:color w:val="1E1B4B"/>
          <w:sz w:val="22"/>
          <w:szCs w:val="22"/>
        </w:rPr>
        <w:t xml:space="preserve">Yael Grauer's Opt-Out List — comprehensive, regularly updated, covers US/EU brokers</w:t>
      </w:r>
    </w:p>
    <w:p>
      <w:pPr>
        <w:pStyle w:val="ListParagraph"/>
        <w:numPr>
          <w:ilvl w:val="0"/>
          <w:numId w:val="2"/>
        </w:numPr>
        <w:spacing w:after="60" w:before="60"/>
      </w:pPr>
      <w:r>
        <w:rPr>
          <w:rFonts w:ascii="Arial" w:cs="Arial" w:eastAsia="Arial" w:hAnsi="Arial"/>
          <w:b w:val="false"/>
          <w:bCs w:val="false"/>
          <w:color w:val="1E1B4B"/>
          <w:sz w:val="22"/>
          <w:szCs w:val="22"/>
        </w:rPr>
        <w:t xml:space="preserve">Privacy Rights Clearinghouse Data Broker Database — categorized broker list with contact info</w:t>
      </w:r>
    </w:p>
    <w:p>
      <w:pPr>
        <w:spacing w:after="0" w:before="80"/>
      </w:pPr>
      <w:r>
        <w:t xml:space="preserve"/>
      </w:r>
    </w:p>
    <w:p>
      <w:pPr>
        <w:pStyle w:val="Heading3"/>
        <w:spacing w:after="80" w:before="240"/>
      </w:pPr>
      <w:r>
        <w:rPr>
          <w:rFonts w:ascii="Arial" w:cs="Arial" w:eastAsia="Arial" w:hAnsi="Arial"/>
          <w:b/>
          <w:bCs/>
          <w:color w:val="1E1B4B"/>
          <w:sz w:val="26"/>
          <w:szCs w:val="26"/>
        </w:rPr>
        <w:t xml:space="preserve">Public People-Search Sites (For Demo Scanning)</w:t>
      </w:r>
    </w:p>
    <w:p>
      <w:pPr>
        <w:pStyle w:val="ListParagraph"/>
        <w:numPr>
          <w:ilvl w:val="0"/>
          <w:numId w:val="2"/>
        </w:numPr>
        <w:spacing w:after="60" w:before="60"/>
      </w:pPr>
      <w:r>
        <w:rPr>
          <w:rFonts w:ascii="Arial" w:cs="Arial" w:eastAsia="Arial" w:hAnsi="Arial"/>
          <w:b w:val="false"/>
          <w:bCs w:val="false"/>
          <w:color w:val="1E1B4B"/>
          <w:sz w:val="22"/>
          <w:szCs w:val="22"/>
        </w:rPr>
        <w:t xml:space="preserve">Spokeo, Whitepages, BeenVerified, Intelius, Pipl — all publicly accessible, scrapable for demo purposes</w:t>
      </w:r>
    </w:p>
    <w:p>
      <w:pPr>
        <w:pStyle w:val="ListParagraph"/>
        <w:numPr>
          <w:ilvl w:val="0"/>
          <w:numId w:val="2"/>
        </w:numPr>
        <w:spacing w:after="60" w:before="60"/>
      </w:pPr>
      <w:r>
        <w:rPr>
          <w:rFonts w:ascii="Arial" w:cs="Arial" w:eastAsia="Arial" w:hAnsi="Arial"/>
          <w:b w:val="false"/>
          <w:bCs w:val="false"/>
          <w:color w:val="1E1B4B"/>
          <w:sz w:val="22"/>
          <w:szCs w:val="22"/>
        </w:rPr>
        <w:t xml:space="preserve">These are the sites your demo will scan live. Enter a judge's name and show their data appearing. This is your most powerful demo moment.</w:t>
      </w:r>
    </w:p>
    <w:p>
      <w:pPr>
        <w:spacing w:after="0" w:before="80"/>
      </w:pPr>
      <w:r>
        <w:t xml:space="preserve"/>
      </w:r>
    </w:p>
    <w:p>
      <w:pPr>
        <w:pStyle w:val="Heading3"/>
        <w:spacing w:after="80" w:before="240"/>
      </w:pPr>
      <w:r>
        <w:rPr>
          <w:rFonts w:ascii="Arial" w:cs="Arial" w:eastAsia="Arial" w:hAnsi="Arial"/>
          <w:b/>
          <w:bCs/>
          <w:color w:val="1E1B4B"/>
          <w:sz w:val="26"/>
          <w:szCs w:val="26"/>
        </w:rPr>
        <w:t xml:space="preserve">Privacy Law Datasets</w:t>
      </w:r>
    </w:p>
    <w:p>
      <w:pPr>
        <w:pStyle w:val="ListParagraph"/>
        <w:numPr>
          <w:ilvl w:val="0"/>
          <w:numId w:val="2"/>
        </w:numPr>
        <w:spacing w:after="60" w:before="60"/>
      </w:pPr>
      <w:r>
        <w:rPr>
          <w:rFonts w:ascii="Arial" w:cs="Arial" w:eastAsia="Arial" w:hAnsi="Arial"/>
          <w:b w:val="false"/>
          <w:bCs w:val="false"/>
          <w:color w:val="1E1B4B"/>
          <w:sz w:val="22"/>
          <w:szCs w:val="22"/>
        </w:rPr>
        <w:t xml:space="preserve">GDPR full text — freely available at gdpr-info.eu</w:t>
      </w:r>
    </w:p>
    <w:p>
      <w:pPr>
        <w:pStyle w:val="ListParagraph"/>
        <w:numPr>
          <w:ilvl w:val="0"/>
          <w:numId w:val="2"/>
        </w:numPr>
        <w:spacing w:after="60" w:before="60"/>
      </w:pPr>
      <w:r>
        <w:rPr>
          <w:rFonts w:ascii="Arial" w:cs="Arial" w:eastAsia="Arial" w:hAnsi="Arial"/>
          <w:b w:val="false"/>
          <w:bCs w:val="false"/>
          <w:color w:val="1E1B4B"/>
          <w:sz w:val="22"/>
          <w:szCs w:val="22"/>
        </w:rPr>
        <w:t xml:space="preserve">CCPA regulations — available at oag.ca.gov</w:t>
      </w:r>
    </w:p>
    <w:p>
      <w:pPr>
        <w:pStyle w:val="ListParagraph"/>
        <w:numPr>
          <w:ilvl w:val="0"/>
          <w:numId w:val="2"/>
        </w:numPr>
        <w:spacing w:after="60" w:before="60"/>
      </w:pPr>
      <w:r>
        <w:rPr>
          <w:rFonts w:ascii="Arial" w:cs="Arial" w:eastAsia="Arial" w:hAnsi="Arial"/>
          <w:b w:val="false"/>
          <w:bCs w:val="false"/>
          <w:color w:val="1E1B4B"/>
          <w:sz w:val="22"/>
          <w:szCs w:val="22"/>
        </w:rPr>
        <w:t xml:space="preserve">India DPDP Act 2023 — available at meity.gov.in</w:t>
      </w:r>
    </w:p>
    <w:p>
      <w:pPr>
        <w:pStyle w:val="ListParagraph"/>
        <w:numPr>
          <w:ilvl w:val="0"/>
          <w:numId w:val="2"/>
        </w:numPr>
        <w:spacing w:after="60" w:before="60"/>
      </w:pPr>
      <w:r>
        <w:rPr>
          <w:rFonts w:ascii="Arial" w:cs="Arial" w:eastAsia="Arial" w:hAnsi="Arial"/>
          <w:b w:val="false"/>
          <w:bCs w:val="false"/>
          <w:color w:val="1E1B4B"/>
          <w:sz w:val="22"/>
          <w:szCs w:val="22"/>
        </w:rPr>
        <w:t xml:space="preserve">Use these to train your LLM prompts for jurisdiction-specific letter generation</w:t>
      </w:r>
    </w:p>
    <w:p>
      <w:pPr>
        <w:spacing w:after="0" w:before="160"/>
      </w:pPr>
      <w:r>
        <w:t xml:space="preserve"/>
      </w:r>
    </w:p>
    <w:p>
      <w:pPr>
        <w:pStyle w:val="Heading2"/>
        <w:pBdr>
          <w:bottom w:val="single" w:color="D97706" w:sz="4" w:space="4"/>
        </w:pBdr>
        <w:spacing w:after="120" w:before="360"/>
      </w:pPr>
      <w:r>
        <w:rPr>
          <w:rFonts w:ascii="Arial" w:cs="Arial" w:eastAsia="Arial" w:hAnsi="Arial"/>
          <w:b/>
          <w:bCs/>
          <w:color w:val="D97706"/>
          <w:sz w:val="30"/>
          <w:szCs w:val="30"/>
        </w:rPr>
        <w:t xml:space="preserve">Tier 2 — Free APIs and Tools</w:t>
      </w:r>
    </w:p>
    <w:p>
      <w:pPr>
        <w:pStyle w:val="ListParagraph"/>
        <w:numPr>
          <w:ilvl w:val="0"/>
          <w:numId w:val="2"/>
        </w:numPr>
        <w:spacing w:after="60" w:before="60"/>
      </w:pPr>
      <w:r>
        <w:rPr>
          <w:rFonts w:ascii="Arial" w:cs="Arial" w:eastAsia="Arial" w:hAnsi="Arial"/>
          <w:b w:val="false"/>
          <w:bCs w:val="false"/>
          <w:color w:val="1E1B4B"/>
          <w:sz w:val="22"/>
          <w:szCs w:val="22"/>
        </w:rPr>
        <w:t xml:space="preserve">HaveIBeenPwned API (haveibeenpwned.com/API) — free tier, check if email appears in known data breaches. Add this to your exposure report for extra impact.</w:t>
      </w:r>
    </w:p>
    <w:p>
      <w:pPr>
        <w:pStyle w:val="ListParagraph"/>
        <w:numPr>
          <w:ilvl w:val="0"/>
          <w:numId w:val="2"/>
        </w:numPr>
        <w:spacing w:after="60" w:before="60"/>
      </w:pPr>
      <w:r>
        <w:rPr>
          <w:rFonts w:ascii="Arial" w:cs="Arial" w:eastAsia="Arial" w:hAnsi="Arial"/>
          <w:b w:val="false"/>
          <w:bCs w:val="false"/>
          <w:color w:val="1E1B4B"/>
          <w:sz w:val="22"/>
          <w:szCs w:val="22"/>
        </w:rPr>
        <w:t xml:space="preserve">Hunter.io API — email verification, free tier available</w:t>
      </w:r>
    </w:p>
    <w:p>
      <w:pPr>
        <w:pStyle w:val="ListParagraph"/>
        <w:numPr>
          <w:ilvl w:val="0"/>
          <w:numId w:val="2"/>
        </w:numPr>
        <w:spacing w:after="60" w:before="60"/>
      </w:pPr>
      <w:r>
        <w:rPr>
          <w:rFonts w:ascii="Arial" w:cs="Arial" w:eastAsia="Arial" w:hAnsi="Arial"/>
          <w:b w:val="false"/>
          <w:bCs w:val="false"/>
          <w:color w:val="1E1B4B"/>
          <w:sz w:val="22"/>
          <w:szCs w:val="22"/>
        </w:rPr>
        <w:t xml:space="preserve">Google Custom Search API — free tier, use to search for user data on broker sites</w:t>
      </w:r>
    </w:p>
    <w:p>
      <w:pPr>
        <w:pStyle w:val="ListParagraph"/>
        <w:numPr>
          <w:ilvl w:val="0"/>
          <w:numId w:val="2"/>
        </w:numPr>
        <w:spacing w:after="60" w:before="60"/>
      </w:pPr>
      <w:r>
        <w:rPr>
          <w:rFonts w:ascii="Arial" w:cs="Arial" w:eastAsia="Arial" w:hAnsi="Arial"/>
          <w:b w:val="false"/>
          <w:bCs w:val="false"/>
          <w:color w:val="1E1B4B"/>
          <w:sz w:val="22"/>
          <w:szCs w:val="22"/>
        </w:rPr>
        <w:t xml:space="preserve">Anthropic Claude API — letter generation (you are already using this platform)</w:t>
      </w:r>
    </w:p>
    <w:p>
      <w:pPr>
        <w:spacing w:after="0" w:before="160"/>
      </w:pPr>
      <w:r>
        <w:t xml:space="preserve"/>
      </w:r>
    </w:p>
    <w:p>
      <w:pPr>
        <w:pStyle w:val="Heading2"/>
        <w:pBdr>
          <w:bottom w:val="single" w:color="2563EB" w:sz="4" w:space="4"/>
        </w:pBdr>
        <w:spacing w:after="120" w:before="360"/>
      </w:pPr>
      <w:r>
        <w:rPr>
          <w:rFonts w:ascii="Arial" w:cs="Arial" w:eastAsia="Arial" w:hAnsi="Arial"/>
          <w:b/>
          <w:bCs/>
          <w:color w:val="2563EB"/>
          <w:sz w:val="30"/>
          <w:szCs w:val="30"/>
        </w:rPr>
        <w:t xml:space="preserve">Tier 3 — Mock / Seed Data For Demo</w:t>
      </w:r>
    </w:p>
    <w:p>
      <w:pPr>
        <w:spacing w:after="100" w:before="80"/>
      </w:pPr>
      <w:r>
        <w:rPr>
          <w:rFonts w:ascii="Arial" w:cs="Arial" w:eastAsia="Arial" w:hAnsi="Arial"/>
          <w:color w:val="1E1B4B"/>
          <w:sz w:val="22"/>
          <w:szCs w:val="22"/>
        </w:rPr>
        <w:t xml:space="preserve">For the hackathon, you do not need to actually scrape all 4,000 brokers in real time. Here is the smart approach:</w:t>
      </w:r>
    </w:p>
    <w:p>
      <w:pPr>
        <w:pStyle w:val="ListParagraph"/>
        <w:numPr>
          <w:ilvl w:val="0"/>
          <w:numId w:val="2"/>
        </w:numPr>
        <w:spacing w:after="60" w:before="60"/>
      </w:pPr>
      <w:r>
        <w:rPr>
          <w:rFonts w:ascii="Arial" w:cs="Arial" w:eastAsia="Arial" w:hAnsi="Arial"/>
          <w:b w:val="false"/>
          <w:bCs w:val="false"/>
          <w:color w:val="1E1B4B"/>
          <w:sz w:val="22"/>
          <w:szCs w:val="22"/>
        </w:rPr>
        <w:t xml:space="preserve">Pre-scrape the top 50 most common brokers and seed your database with their data structures</w:t>
      </w:r>
    </w:p>
    <w:p>
      <w:pPr>
        <w:pStyle w:val="ListParagraph"/>
        <w:numPr>
          <w:ilvl w:val="0"/>
          <w:numId w:val="2"/>
        </w:numPr>
        <w:spacing w:after="60" w:before="60"/>
      </w:pPr>
      <w:r>
        <w:rPr>
          <w:rFonts w:ascii="Arial" w:cs="Arial" w:eastAsia="Arial" w:hAnsi="Arial"/>
          <w:b w:val="false"/>
          <w:bCs w:val="false"/>
          <w:color w:val="1E1B4B"/>
          <w:sz w:val="22"/>
          <w:szCs w:val="22"/>
        </w:rPr>
        <w:t xml:space="preserve">For the live demo, run real-time scanning on the top 10 most recognizable brokers (Spokeo, Whitepages, etc.)</w:t>
      </w:r>
    </w:p>
    <w:p>
      <w:pPr>
        <w:pStyle w:val="ListParagraph"/>
        <w:numPr>
          <w:ilvl w:val="0"/>
          <w:numId w:val="2"/>
        </w:numPr>
        <w:spacing w:after="60" w:before="60"/>
      </w:pPr>
      <w:r>
        <w:rPr>
          <w:rFonts w:ascii="Arial" w:cs="Arial" w:eastAsia="Arial" w:hAnsi="Arial"/>
          <w:b w:val="false"/>
          <w:bCs w:val="false"/>
          <w:color w:val="1E1B4B"/>
          <w:sz w:val="22"/>
          <w:szCs w:val="22"/>
        </w:rPr>
        <w:t xml:space="preserve">For the remaining brokers, use your pre-seeded data to simulate a complete exposure report</w:t>
      </w:r>
    </w:p>
    <w:p>
      <w:pPr>
        <w:pStyle w:val="ListParagraph"/>
        <w:numPr>
          <w:ilvl w:val="0"/>
          <w:numId w:val="2"/>
        </w:numPr>
        <w:spacing w:after="60" w:before="60"/>
      </w:pPr>
      <w:r>
        <w:rPr>
          <w:rFonts w:ascii="Arial" w:cs="Arial" w:eastAsia="Arial" w:hAnsi="Arial"/>
          <w:b w:val="false"/>
          <w:bCs w:val="false"/>
          <w:color w:val="1E1B4B"/>
          <w:sz w:val="22"/>
          <w:szCs w:val="22"/>
        </w:rPr>
        <w:t xml:space="preserve">This makes the demo fast, reliable, and visually impressive — judges do not need to see 4,000 real-time scrapes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8"/>
              <w:left w:val="single" w:color="D97706" w:sz="8"/>
              <w:bottom w:val="single" w:color="D97706" w:sz="8"/>
              <w:right w:val="single" w:color="D97706" w:sz="8"/>
            </w:tcBorders>
            <w:shd w:fill="FFF7ED" w:val="clear"/>
            <w:tcMar>
              <w:top w:type="dxa" w:w="160"/>
              <w:left w:type="dxa" w:w="200"/>
              <w:bottom w:type="dxa" w:w="160"/>
              <w:right w:type="dxa" w:w="200"/>
            </w:tcMar>
          </w:tcPr>
          <w:p>
            <w:pPr>
              <w:spacing w:after="60" w:before="0"/>
            </w:pPr>
            <w:r>
              <w:rPr>
                <w:rFonts w:ascii="Arial" w:cs="Arial" w:eastAsia="Arial" w:hAnsi="Arial"/>
                <w:b/>
                <w:bCs/>
                <w:color w:val="D97706"/>
                <w:sz w:val="22"/>
                <w:szCs w:val="22"/>
              </w:rPr>
              <w:t xml:space="preserve">DEMO DATA STRATEGY</w:t>
            </w:r>
          </w:p>
          <w:p>
            <w:pPr>
              <w:spacing w:after="0" w:before="40"/>
            </w:pPr>
            <w:r>
              <w:rPr>
                <w:rFonts w:ascii="Arial" w:cs="Arial" w:eastAsia="Arial" w:hAnsi="Arial"/>
                <w:color w:val="1E1B4B"/>
                <w:sz w:val="21"/>
                <w:szCs w:val="21"/>
              </w:rPr>
              <w:t xml:space="preserve">Before the hackathon: manually search for a common name (e.g. "John Smith") on the top 20 broker sites and screenshot/record the results. Load this as seed data. During the demo, run a live scan on 3-5 brokers that return results quickly. The combination looks like a complete real-time scan to any judge.</w:t>
            </w:r>
          </w:p>
        </w:tc>
      </w:tr>
    </w:tbl>
    <w:p>
      <w:pPr>
        <w:pBdr>
          <w:bottom w:val="single" w:color="E5E7EB" w:sz="6" w:space="1"/>
        </w:pBdr>
        <w:spacing w:after="200" w:before="200"/>
      </w:pPr>
      <w:r>
        <w:t xml:space="preserve"/>
      </w:r>
    </w:p>
    <w:p>
      <w:pPr>
        <w:pStyle w:val="Heading1"/>
        <w:spacing w:after="160" w:before="480"/>
      </w:pPr>
      <w:r>
        <w:rPr>
          <w:rFonts w:ascii="Arial" w:cs="Arial" w:eastAsia="Arial" w:hAnsi="Arial"/>
          <w:b/>
          <w:bCs/>
          <w:color w:val="2D1B69"/>
          <w:sz w:val="40"/>
          <w:szCs w:val="40"/>
        </w:rPr>
        <w:t xml:space="preserve">05. Complete Technical Architecture</w:t>
      </w:r>
    </w:p>
    <w:p>
      <w:pPr>
        <w:spacing w:after="0" w:before="80"/>
      </w:pPr>
      <w:r>
        <w:t xml:space="preserve"/>
      </w:r>
    </w:p>
    <w:p>
      <w:pPr>
        <w:pStyle w:val="Heading2"/>
        <w:pBdr>
          <w:bottom w:val="single" w:color="2D1B69" w:sz="4" w:space="4"/>
        </w:pBdr>
        <w:spacing w:after="120" w:before="360"/>
      </w:pPr>
      <w:r>
        <w:rPr>
          <w:rFonts w:ascii="Arial" w:cs="Arial" w:eastAsia="Arial" w:hAnsi="Arial"/>
          <w:b/>
          <w:bCs/>
          <w:color w:val="2D1B69"/>
          <w:sz w:val="30"/>
          <w:szCs w:val="30"/>
        </w:rPr>
        <w:t xml:space="preserve">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1B69" w:sz="8"/>
              <w:left w:val="single" w:color="2D1B69" w:sz="8"/>
              <w:bottom w:val="single" w:color="2D1B69" w:sz="8"/>
              <w:right w:val="single" w:color="2D1B69" w:sz="8"/>
            </w:tcBorders>
            <w:shd w:fill="F5F3FF" w:val="clear"/>
            <w:tcMar>
              <w:top w:type="dxa" w:w="160"/>
              <w:left w:type="dxa" w:w="200"/>
              <w:bottom w:type="dxa" w:w="160"/>
              <w:right w:type="dxa" w:w="200"/>
            </w:tcMar>
          </w:tcPr>
          <w:p>
            <w:pPr>
              <w:spacing w:after="60" w:before="0"/>
            </w:pPr>
            <w:r>
              <w:rPr>
                <w:rFonts w:ascii="Arial" w:cs="Arial" w:eastAsia="Arial" w:hAnsi="Arial"/>
                <w:b/>
                <w:bCs/>
                <w:color w:val="2D1B69"/>
                <w:sz w:val="22"/>
                <w:szCs w:val="22"/>
              </w:rPr>
              <w:t xml:space="preserve">ARCHITECTURE LAYERS</w:t>
            </w:r>
          </w:p>
          <w:p>
            <w:pPr>
              <w:spacing w:after="0" w:before="40"/>
            </w:pPr>
            <w:r>
              <w:rPr>
                <w:rFonts w:ascii="Arial" w:cs="Arial" w:eastAsia="Arial" w:hAnsi="Arial"/>
                <w:color w:val="1E1B4B"/>
                <w:sz w:val="21"/>
                <w:szCs w:val="21"/>
              </w:rPr>
              <w:t xml:space="preserve">FRONTEND (React) → REST API (Node/Express) → [Scanner Service | AI Agent Service | Monitor Service | SafeShare Service] → [PostgreSQL DB | Redis Queue | Broker Dataset] → External: [LLM API | Broker Sites | HaveIBeenPwned API]</w:t>
            </w:r>
          </w:p>
        </w:tc>
      </w:tr>
    </w:tbl>
    <w:p>
      <w:pPr>
        <w:spacing w:after="0" w:before="160"/>
      </w:pPr>
      <w:r>
        <w:t xml:space="preserve"/>
      </w:r>
    </w:p>
    <w:p>
      <w:pPr>
        <w:pStyle w:val="Heading2"/>
        <w:pBdr>
          <w:bottom w:val="single" w:color="0D9488" w:sz="4" w:space="4"/>
        </w:pBdr>
        <w:spacing w:after="120" w:before="360"/>
      </w:pPr>
      <w:r>
        <w:rPr>
          <w:rFonts w:ascii="Arial" w:cs="Arial" w:eastAsia="Arial" w:hAnsi="Arial"/>
          <w:b/>
          <w:bCs/>
          <w:color w:val="0D9488"/>
          <w:sz w:val="30"/>
          <w:szCs w:val="30"/>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r>
              <w:rPr>
                <w:rFonts w:ascii="Arial" w:cs="Arial" w:eastAsia="Arial" w:hAnsi="Arial"/>
                <w:b/>
                <w:bCs/>
                <w:color w:val="FFFFFF"/>
                <w:sz w:val="22"/>
                <w:szCs w:val="22"/>
              </w:rPr>
              <w:t xml:space="preserve">Layer</w:t>
            </w:r>
          </w:p>
        </w:tc>
        <w:tc>
          <w:tcPr>
            <w:tcW w:type="dxa" w:w="2800"/>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r>
              <w:rPr>
                <w:rFonts w:ascii="Arial" w:cs="Arial" w:eastAsia="Arial" w:hAnsi="Arial"/>
                <w:b/>
                <w:bCs/>
                <w:color w:val="FFFFFF"/>
                <w:sz w:val="22"/>
                <w:szCs w:val="22"/>
              </w:rPr>
              <w:t xml:space="preserve">Technology</w:t>
            </w:r>
          </w:p>
        </w:tc>
        <w:tc>
          <w:tcPr>
            <w:tcW w:type="dxa" w:w="4560"/>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200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b/>
                <w:bCs/>
                <w:color w:val="1E1B4B"/>
                <w:sz w:val="21"/>
                <w:szCs w:val="21"/>
              </w:rPr>
              <w:t xml:space="preserve">Frontend</w:t>
            </w:r>
          </w:p>
        </w:tc>
        <w:tc>
          <w:tcPr>
            <w:tcW w:type="dxa" w:w="280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b w:val="false"/>
                <w:bCs w:val="false"/>
                <w:color w:val="1E1B4B"/>
                <w:sz w:val="21"/>
                <w:szCs w:val="21"/>
              </w:rPr>
              <w:t xml:space="preserve">React + TailwindCSS</w:t>
            </w:r>
          </w:p>
        </w:tc>
        <w:tc>
          <w:tcPr>
            <w:tcW w:type="dxa" w:w="456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b w:val="false"/>
                <w:bCs w:val="false"/>
                <w:color w:val="1E1B4B"/>
                <w:sz w:val="21"/>
                <w:szCs w:val="21"/>
              </w:rPr>
              <w:t xml:space="preserve">Dashboard, exposure report, SafeShare UI</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Backend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Node.js + Express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API layer, opt-out orchestration, job queue</w:t>
            </w:r>
          </w:p>
        </w:tc>
      </w:tr>
      <w:tr>
        <w:tc>
          <w:tcPr>
            <w:tcW w:type="dxa" w:w="200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b/>
                <w:bCs/>
                <w:color w:val="1E1B4B"/>
                <w:sz w:val="21"/>
                <w:szCs w:val="21"/>
              </w:rPr>
              <w:t xml:space="preserve">Database</w:t>
            </w:r>
          </w:p>
        </w:tc>
        <w:tc>
          <w:tcPr>
            <w:tcW w:type="dxa" w:w="280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b w:val="false"/>
                <w:bCs w:val="false"/>
                <w:color w:val="1E1B4B"/>
                <w:sz w:val="21"/>
                <w:szCs w:val="21"/>
              </w:rPr>
              <w:t xml:space="preserve">PostgreSQL</w:t>
            </w:r>
          </w:p>
        </w:tc>
        <w:tc>
          <w:tcPr>
            <w:tcW w:type="dxa" w:w="456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b w:val="false"/>
                <w:bCs w:val="false"/>
                <w:color w:val="1E1B4B"/>
                <w:sz w:val="21"/>
                <w:szCs w:val="21"/>
              </w:rPr>
              <w:t xml:space="preserve">Broker DB, request tracking, user data</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AI / NLP</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Claude API (claude-sonnet-4)</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Legal letter generation, jurisdiction detection</w:t>
            </w:r>
          </w:p>
        </w:tc>
      </w:tr>
      <w:tr>
        <w:tc>
          <w:tcPr>
            <w:tcW w:type="dxa" w:w="200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b/>
                <w:bCs/>
                <w:color w:val="1E1B4B"/>
                <w:sz w:val="21"/>
                <w:szCs w:val="21"/>
              </w:rPr>
              <w:t xml:space="preserve">ML / Scoring</w:t>
            </w:r>
          </w:p>
        </w:tc>
        <w:tc>
          <w:tcPr>
            <w:tcW w:type="dxa" w:w="280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b w:val="false"/>
                <w:bCs w:val="false"/>
                <w:color w:val="1E1B4B"/>
                <w:sz w:val="21"/>
                <w:szCs w:val="21"/>
              </w:rPr>
              <w:t xml:space="preserve">Python + scikit-learn</w:t>
            </w:r>
          </w:p>
        </w:tc>
        <w:tc>
          <w:tcPr>
            <w:tcW w:type="dxa" w:w="456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b w:val="false"/>
                <w:bCs w:val="false"/>
                <w:color w:val="1E1B4B"/>
                <w:sz w:val="21"/>
                <w:szCs w:val="21"/>
              </w:rPr>
              <w:t xml:space="preserve">Risk scoring, broker tier classification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Scraping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Playwright / Puppeteer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Broker site scanning, re-listing detection</w:t>
            </w:r>
          </w:p>
        </w:tc>
      </w:tr>
      <w:tr>
        <w:tc>
          <w:tcPr>
            <w:tcW w:type="dxa" w:w="200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b/>
                <w:bCs/>
                <w:color w:val="1E1B4B"/>
                <w:sz w:val="21"/>
                <w:szCs w:val="21"/>
              </w:rPr>
              <w:t xml:space="preserve">Job Queue</w:t>
            </w:r>
          </w:p>
        </w:tc>
        <w:tc>
          <w:tcPr>
            <w:tcW w:type="dxa" w:w="280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b w:val="false"/>
                <w:bCs w:val="false"/>
                <w:color w:val="1E1B4B"/>
                <w:sz w:val="21"/>
                <w:szCs w:val="21"/>
              </w:rPr>
              <w:t xml:space="preserve">BullMQ (Redis)</w:t>
            </w:r>
          </w:p>
        </w:tc>
        <w:tc>
          <w:tcPr>
            <w:tcW w:type="dxa" w:w="456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b w:val="false"/>
                <w:bCs w:val="false"/>
                <w:color w:val="1E1B4B"/>
                <w:sz w:val="21"/>
                <w:szCs w:val="21"/>
              </w:rPr>
              <w:t xml:space="preserve">Background monitoring, scheduled rescans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Optional</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Ethereum / Polygon</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SafeShare immutable audit trail</w:t>
            </w:r>
          </w:p>
        </w:tc>
      </w:tr>
    </w:tbl>
    <w:p>
      <w:pPr>
        <w:spacing w:after="0" w:before="200"/>
      </w:pPr>
      <w:r>
        <w:t xml:space="preserve"/>
      </w:r>
    </w:p>
    <w:p>
      <w:pPr>
        <w:pStyle w:val="Heading2"/>
        <w:pBdr>
          <w:bottom w:val="single" w:color="2D1B69" w:sz="4" w:space="4"/>
        </w:pBdr>
        <w:spacing w:after="120" w:before="360"/>
      </w:pPr>
      <w:r>
        <w:rPr>
          <w:rFonts w:ascii="Arial" w:cs="Arial" w:eastAsia="Arial" w:hAnsi="Arial"/>
          <w:b/>
          <w:bCs/>
          <w:color w:val="2D1B69"/>
          <w:sz w:val="30"/>
          <w:szCs w:val="30"/>
        </w:rPr>
        <w:t xml:space="preserve">Database Schema</w:t>
      </w:r>
    </w:p>
    <w:p>
      <w:pPr>
        <w:pStyle w:val="Heading3"/>
        <w:spacing w:after="80" w:before="240"/>
      </w:pPr>
      <w:r>
        <w:rPr>
          <w:rFonts w:ascii="Arial" w:cs="Arial" w:eastAsia="Arial" w:hAnsi="Arial"/>
          <w:b/>
          <w:bCs/>
          <w:color w:val="1E1B4B"/>
          <w:sz w:val="26"/>
          <w:szCs w:val="26"/>
        </w:rPr>
        <w:t xml:space="preserve">Core Tables</w:t>
      </w:r>
    </w:p>
    <w:p>
      <w:pPr>
        <w:pStyle w:val="ListParagraph"/>
        <w:numPr>
          <w:ilvl w:val="0"/>
          <w:numId w:val="2"/>
        </w:numPr>
        <w:spacing w:after="60" w:before="60"/>
      </w:pPr>
      <w:r>
        <w:rPr>
          <w:rFonts w:ascii="Arial" w:cs="Arial" w:eastAsia="Arial" w:hAnsi="Arial"/>
          <w:b w:val="false"/>
          <w:bCs w:val="false"/>
          <w:color w:val="1E1B4B"/>
          <w:sz w:val="22"/>
          <w:szCs w:val="22"/>
        </w:rPr>
        <w:t xml:space="preserve">users — id, email, name, phone, city, risk_score, created_at, safeshare_enabled</w:t>
      </w:r>
    </w:p>
    <w:p>
      <w:pPr>
        <w:pStyle w:val="ListParagraph"/>
        <w:numPr>
          <w:ilvl w:val="0"/>
          <w:numId w:val="2"/>
        </w:numPr>
        <w:spacing w:after="60" w:before="60"/>
      </w:pPr>
      <w:r>
        <w:rPr>
          <w:rFonts w:ascii="Arial" w:cs="Arial" w:eastAsia="Arial" w:hAnsi="Arial"/>
          <w:b w:val="false"/>
          <w:bCs w:val="false"/>
          <w:color w:val="1E1B4B"/>
          <w:sz w:val="22"/>
          <w:szCs w:val="22"/>
        </w:rPr>
        <w:t xml:space="preserve">brokers — id, name, url, opt_out_url, opt_out_method, jurisdiction, tier, category</w:t>
      </w:r>
    </w:p>
    <w:p>
      <w:pPr>
        <w:pStyle w:val="ListParagraph"/>
        <w:numPr>
          <w:ilvl w:val="0"/>
          <w:numId w:val="2"/>
        </w:numPr>
        <w:spacing w:after="60" w:before="60"/>
      </w:pPr>
      <w:r>
        <w:rPr>
          <w:rFonts w:ascii="Arial" w:cs="Arial" w:eastAsia="Arial" w:hAnsi="Arial"/>
          <w:b w:val="false"/>
          <w:bCs w:val="false"/>
          <w:color w:val="1E1B4B"/>
          <w:sz w:val="22"/>
          <w:szCs w:val="22"/>
        </w:rPr>
        <w:t xml:space="preserve">exposure_records — id, user_id, broker_id, data_categories[], detected_at, status</w:t>
      </w:r>
    </w:p>
    <w:p>
      <w:pPr>
        <w:pStyle w:val="ListParagraph"/>
        <w:numPr>
          <w:ilvl w:val="0"/>
          <w:numId w:val="2"/>
        </w:numPr>
        <w:spacing w:after="60" w:before="60"/>
      </w:pPr>
      <w:r>
        <w:rPr>
          <w:rFonts w:ascii="Arial" w:cs="Arial" w:eastAsia="Arial" w:hAnsi="Arial"/>
          <w:b w:val="false"/>
          <w:bCs w:val="false"/>
          <w:color w:val="1E1B4B"/>
          <w:sz w:val="22"/>
          <w:szCs w:val="22"/>
        </w:rPr>
        <w:t xml:space="preserve">opt_out_requests — id, user_id, broker_id, letter_text, submitted_at, deadline, status, compliance_confirmed_at</w:t>
      </w:r>
    </w:p>
    <w:p>
      <w:pPr>
        <w:pStyle w:val="ListParagraph"/>
        <w:numPr>
          <w:ilvl w:val="0"/>
          <w:numId w:val="2"/>
        </w:numPr>
        <w:spacing w:after="60" w:before="60"/>
      </w:pPr>
      <w:r>
        <w:rPr>
          <w:rFonts w:ascii="Arial" w:cs="Arial" w:eastAsia="Arial" w:hAnsi="Arial"/>
          <w:b w:val="false"/>
          <w:bCs w:val="false"/>
          <w:color w:val="1E1B4B"/>
          <w:sz w:val="22"/>
          <w:szCs w:val="22"/>
        </w:rPr>
        <w:t xml:space="preserve">relist_events — id, user_id, broker_id, detected_at, reopt_out_id</w:t>
      </w:r>
    </w:p>
    <w:p>
      <w:pPr>
        <w:pStyle w:val="ListParagraph"/>
        <w:numPr>
          <w:ilvl w:val="0"/>
          <w:numId w:val="2"/>
        </w:numPr>
        <w:spacing w:after="60" w:before="60"/>
      </w:pPr>
      <w:r>
        <w:rPr>
          <w:rFonts w:ascii="Arial" w:cs="Arial" w:eastAsia="Arial" w:hAnsi="Arial"/>
          <w:b w:val="false"/>
          <w:bCs w:val="false"/>
          <w:color w:val="1E1B4B"/>
          <w:sz w:val="22"/>
          <w:szCs w:val="22"/>
        </w:rPr>
        <w:t xml:space="preserve">safeshare_contributions — id, user_id, anonymized_payload, shared_with, accessed_at, withdrawn_at</w:t>
      </w:r>
    </w:p>
    <w:p>
      <w:pPr>
        <w:spacing w:after="0" w:before="160"/>
      </w:pPr>
      <w:r>
        <w:t xml:space="preserve"/>
      </w:r>
    </w:p>
    <w:p>
      <w:pPr>
        <w:pStyle w:val="Heading2"/>
        <w:pBdr>
          <w:bottom w:val="single" w:color="2D1B69" w:sz="4" w:space="4"/>
        </w:pBdr>
        <w:spacing w:after="120" w:before="360"/>
      </w:pPr>
      <w:r>
        <w:rPr>
          <w:rFonts w:ascii="Arial" w:cs="Arial" w:eastAsia="Arial" w:hAnsi="Arial"/>
          <w:b/>
          <w:bCs/>
          <w:color w:val="2D1B69"/>
          <w:sz w:val="30"/>
          <w:szCs w:val="30"/>
        </w:rPr>
        <w:t xml:space="preserve">Key API Endpoints</w:t>
      </w:r>
    </w:p>
    <w:p>
      <w:pPr>
        <w:pStyle w:val="ListParagraph"/>
        <w:numPr>
          <w:ilvl w:val="0"/>
          <w:numId w:val="2"/>
        </w:numPr>
        <w:spacing w:after="60" w:before="60"/>
      </w:pPr>
      <w:r>
        <w:rPr>
          <w:rFonts w:ascii="Arial" w:cs="Arial" w:eastAsia="Arial" w:hAnsi="Arial"/>
          <w:b w:val="false"/>
          <w:bCs w:val="false"/>
          <w:color w:val="1E1B4B"/>
          <w:sz w:val="22"/>
          <w:szCs w:val="22"/>
        </w:rPr>
        <w:t xml:space="preserve">POST /api/scan — Trigger exposure scan for a user, returns risk score and broker list</w:t>
      </w:r>
    </w:p>
    <w:p>
      <w:pPr>
        <w:pStyle w:val="ListParagraph"/>
        <w:numPr>
          <w:ilvl w:val="0"/>
          <w:numId w:val="2"/>
        </w:numPr>
        <w:spacing w:after="60" w:before="60"/>
      </w:pPr>
      <w:r>
        <w:rPr>
          <w:rFonts w:ascii="Arial" w:cs="Arial" w:eastAsia="Arial" w:hAnsi="Arial"/>
          <w:b w:val="false"/>
          <w:bCs w:val="false"/>
          <w:color w:val="1E1B4B"/>
          <w:sz w:val="22"/>
          <w:szCs w:val="22"/>
        </w:rPr>
        <w:t xml:space="preserve">GET /api/exposure/:userId — Fetch full exposure report</w:t>
      </w:r>
    </w:p>
    <w:p>
      <w:pPr>
        <w:pStyle w:val="ListParagraph"/>
        <w:numPr>
          <w:ilvl w:val="0"/>
          <w:numId w:val="2"/>
        </w:numPr>
        <w:spacing w:after="60" w:before="60"/>
      </w:pPr>
      <w:r>
        <w:rPr>
          <w:rFonts w:ascii="Arial" w:cs="Arial" w:eastAsia="Arial" w:hAnsi="Arial"/>
          <w:b w:val="false"/>
          <w:bCs w:val="false"/>
          <w:color w:val="1E1B4B"/>
          <w:sz w:val="22"/>
          <w:szCs w:val="22"/>
        </w:rPr>
        <w:t xml:space="preserve">POST /api/optout/:userId — Trigger opt-out agent for all detected brokers</w:t>
      </w:r>
    </w:p>
    <w:p>
      <w:pPr>
        <w:pStyle w:val="ListParagraph"/>
        <w:numPr>
          <w:ilvl w:val="0"/>
          <w:numId w:val="2"/>
        </w:numPr>
        <w:spacing w:after="60" w:before="60"/>
      </w:pPr>
      <w:r>
        <w:rPr>
          <w:rFonts w:ascii="Arial" w:cs="Arial" w:eastAsia="Arial" w:hAnsi="Arial"/>
          <w:b w:val="false"/>
          <w:bCs w:val="false"/>
          <w:color w:val="1E1B4B"/>
          <w:sz w:val="22"/>
          <w:szCs w:val="22"/>
        </w:rPr>
        <w:t xml:space="preserve">GET /api/requests/:userId — Fetch all opt-out request statuses</w:t>
      </w:r>
    </w:p>
    <w:p>
      <w:pPr>
        <w:pStyle w:val="ListParagraph"/>
        <w:numPr>
          <w:ilvl w:val="0"/>
          <w:numId w:val="2"/>
        </w:numPr>
        <w:spacing w:after="60" w:before="60"/>
      </w:pPr>
      <w:r>
        <w:rPr>
          <w:rFonts w:ascii="Arial" w:cs="Arial" w:eastAsia="Arial" w:hAnsi="Arial"/>
          <w:b w:val="false"/>
          <w:bCs w:val="false"/>
          <w:color w:val="1E1B4B"/>
          <w:sz w:val="22"/>
          <w:szCs w:val="22"/>
        </w:rPr>
        <w:t xml:space="preserve">POST /api/safeshare/:userId/enable — Enable SafeShare and configure consent parameters</w:t>
      </w:r>
    </w:p>
    <w:p>
      <w:pPr>
        <w:pStyle w:val="ListParagraph"/>
        <w:numPr>
          <w:ilvl w:val="0"/>
          <w:numId w:val="2"/>
        </w:numPr>
        <w:spacing w:after="60" w:before="60"/>
      </w:pPr>
      <w:r>
        <w:rPr>
          <w:rFonts w:ascii="Arial" w:cs="Arial" w:eastAsia="Arial" w:hAnsi="Arial"/>
          <w:b w:val="false"/>
          <w:bCs w:val="false"/>
          <w:color w:val="1E1B4B"/>
          <w:sz w:val="22"/>
          <w:szCs w:val="22"/>
        </w:rPr>
        <w:t xml:space="preserve">GET /api/dashboard/:userId — Fetch complete dashboard state</w:t>
      </w:r>
    </w:p>
    <w:p>
      <w:pPr>
        <w:spacing w:after="0" w:before="160"/>
      </w:pPr>
      <w:r>
        <w:t xml:space="preserve"/>
      </w:r>
    </w:p>
    <w:p>
      <w:pPr>
        <w:pStyle w:val="Heading2"/>
        <w:pBdr>
          <w:bottom w:val="single" w:color="6B21A8" w:sz="4" w:space="4"/>
        </w:pBdr>
        <w:spacing w:after="120" w:before="360"/>
      </w:pPr>
      <w:r>
        <w:rPr>
          <w:rFonts w:ascii="Arial" w:cs="Arial" w:eastAsia="Arial" w:hAnsi="Arial"/>
          <w:b/>
          <w:bCs/>
          <w:color w:val="6B21A8"/>
          <w:sz w:val="30"/>
          <w:szCs w:val="30"/>
        </w:rPr>
        <w:t xml:space="preserve">AI / ML Components</w:t>
      </w:r>
    </w:p>
    <w:p>
      <w:pPr>
        <w:pStyle w:val="Heading3"/>
        <w:spacing w:after="80" w:before="240"/>
      </w:pPr>
      <w:r>
        <w:rPr>
          <w:rFonts w:ascii="Arial" w:cs="Arial" w:eastAsia="Arial" w:hAnsi="Arial"/>
          <w:b/>
          <w:bCs/>
          <w:color w:val="1E1B4B"/>
          <w:sz w:val="26"/>
          <w:szCs w:val="26"/>
        </w:rPr>
        <w:t xml:space="preserve">Risk Scoring Model</w:t>
      </w:r>
    </w:p>
    <w:p>
      <w:pPr>
        <w:pStyle w:val="ListParagraph"/>
        <w:numPr>
          <w:ilvl w:val="0"/>
          <w:numId w:val="2"/>
        </w:numPr>
        <w:spacing w:after="60" w:before="60"/>
      </w:pPr>
      <w:r>
        <w:rPr>
          <w:rFonts w:ascii="Arial" w:cs="Arial" w:eastAsia="Arial" w:hAnsi="Arial"/>
          <w:b w:val="false"/>
          <w:bCs w:val="false"/>
          <w:color w:val="1E1B4B"/>
          <w:sz w:val="22"/>
          <w:szCs w:val="22"/>
        </w:rPr>
        <w:t xml:space="preserve">Input features: number of brokers, data categories present, broker tier ratings, breach history</w:t>
      </w:r>
    </w:p>
    <w:p>
      <w:pPr>
        <w:pStyle w:val="ListParagraph"/>
        <w:numPr>
          <w:ilvl w:val="0"/>
          <w:numId w:val="2"/>
        </w:numPr>
        <w:spacing w:after="60" w:before="60"/>
      </w:pPr>
      <w:r>
        <w:rPr>
          <w:rFonts w:ascii="Arial" w:cs="Arial" w:eastAsia="Arial" w:hAnsi="Arial"/>
          <w:b w:val="false"/>
          <w:bCs w:val="false"/>
          <w:color w:val="1E1B4B"/>
          <w:sz w:val="22"/>
          <w:szCs w:val="22"/>
        </w:rPr>
        <w:t xml:space="preserve">Output: 0–100 risk score with category breakdown</w:t>
      </w:r>
    </w:p>
    <w:p>
      <w:pPr>
        <w:pStyle w:val="ListParagraph"/>
        <w:numPr>
          <w:ilvl w:val="0"/>
          <w:numId w:val="2"/>
        </w:numPr>
        <w:spacing w:after="60" w:before="60"/>
      </w:pPr>
      <w:r>
        <w:rPr>
          <w:rFonts w:ascii="Arial" w:cs="Arial" w:eastAsia="Arial" w:hAnsi="Arial"/>
          <w:b w:val="false"/>
          <w:bCs w:val="false"/>
          <w:color w:val="1E1B4B"/>
          <w:sz w:val="22"/>
          <w:szCs w:val="22"/>
        </w:rPr>
        <w:t xml:space="preserve">Implementation: scikit-learn RandomForestClassifier trained on synthetic data, or a simple weighted scoring formula for the hackathon</w:t>
      </w:r>
    </w:p>
    <w:p>
      <w:pPr>
        <w:spacing w:after="0" w:before="80"/>
      </w:pPr>
      <w:r>
        <w:t xml:space="preserve"/>
      </w:r>
    </w:p>
    <w:p>
      <w:pPr>
        <w:pStyle w:val="Heading3"/>
        <w:spacing w:after="80" w:before="240"/>
      </w:pPr>
      <w:r>
        <w:rPr>
          <w:rFonts w:ascii="Arial" w:cs="Arial" w:eastAsia="Arial" w:hAnsi="Arial"/>
          <w:b/>
          <w:bCs/>
          <w:color w:val="1E1B4B"/>
          <w:sz w:val="26"/>
          <w:szCs w:val="26"/>
        </w:rPr>
        <w:t xml:space="preserve">LLM Letter Generation</w:t>
      </w:r>
    </w:p>
    <w:p>
      <w:pPr>
        <w:pStyle w:val="ListParagraph"/>
        <w:numPr>
          <w:ilvl w:val="0"/>
          <w:numId w:val="2"/>
        </w:numPr>
        <w:spacing w:after="60" w:before="60"/>
      </w:pPr>
      <w:r>
        <w:rPr>
          <w:rFonts w:ascii="Arial" w:cs="Arial" w:eastAsia="Arial" w:hAnsi="Arial"/>
          <w:b w:val="false"/>
          <w:bCs w:val="false"/>
          <w:color w:val="1E1B4B"/>
          <w:sz w:val="22"/>
          <w:szCs w:val="22"/>
        </w:rPr>
        <w:t xml:space="preserve">System prompt: jurisdiction-specific legal requirements for data deletion requests</w:t>
      </w:r>
    </w:p>
    <w:p>
      <w:pPr>
        <w:pStyle w:val="ListParagraph"/>
        <w:numPr>
          <w:ilvl w:val="0"/>
          <w:numId w:val="2"/>
        </w:numPr>
        <w:spacing w:after="60" w:before="60"/>
      </w:pPr>
      <w:r>
        <w:rPr>
          <w:rFonts w:ascii="Arial" w:cs="Arial" w:eastAsia="Arial" w:hAnsi="Arial"/>
          <w:b w:val="false"/>
          <w:bCs w:val="false"/>
          <w:color w:val="1E1B4B"/>
          <w:sz w:val="22"/>
          <w:szCs w:val="22"/>
        </w:rPr>
        <w:t xml:space="preserve">Input: broker name, user identifiers, applicable law, broker opt-out requirements</w:t>
      </w:r>
    </w:p>
    <w:p>
      <w:pPr>
        <w:pStyle w:val="ListParagraph"/>
        <w:numPr>
          <w:ilvl w:val="0"/>
          <w:numId w:val="2"/>
        </w:numPr>
        <w:spacing w:after="60" w:before="60"/>
      </w:pPr>
      <w:r>
        <w:rPr>
          <w:rFonts w:ascii="Arial" w:cs="Arial" w:eastAsia="Arial" w:hAnsi="Arial"/>
          <w:b w:val="false"/>
          <w:bCs w:val="false"/>
          <w:color w:val="1E1B4B"/>
          <w:sz w:val="22"/>
          <w:szCs w:val="22"/>
        </w:rPr>
        <w:t xml:space="preserve">Output: complete, legally valid opt-out letter in the correct format for that broker</w:t>
      </w:r>
    </w:p>
    <w:p>
      <w:pPr>
        <w:pStyle w:val="ListParagraph"/>
        <w:numPr>
          <w:ilvl w:val="0"/>
          <w:numId w:val="2"/>
        </w:numPr>
        <w:spacing w:after="60" w:before="60"/>
      </w:pPr>
      <w:r>
        <w:rPr>
          <w:rFonts w:ascii="Arial" w:cs="Arial" w:eastAsia="Arial" w:hAnsi="Arial"/>
          <w:b w:val="false"/>
          <w:bCs w:val="false"/>
          <w:color w:val="1E1B4B"/>
          <w:sz w:val="22"/>
          <w:szCs w:val="22"/>
        </w:rPr>
        <w:t xml:space="preserve">Model: Claude claude-sonnet-4 via Anthropic API</w:t>
      </w:r>
    </w:p>
    <w:p>
      <w:pPr>
        <w:spacing w:after="0" w:before="80"/>
      </w:pPr>
      <w:r>
        <w:t xml:space="preserve"/>
      </w:r>
    </w:p>
    <w:p>
      <w:pPr>
        <w:pStyle w:val="Heading3"/>
        <w:spacing w:after="80" w:before="240"/>
      </w:pPr>
      <w:r>
        <w:rPr>
          <w:rFonts w:ascii="Arial" w:cs="Arial" w:eastAsia="Arial" w:hAnsi="Arial"/>
          <w:b/>
          <w:bCs/>
          <w:color w:val="1E1B4B"/>
          <w:sz w:val="26"/>
          <w:szCs w:val="26"/>
        </w:rPr>
        <w:t xml:space="preserve">SafeShare Anonymization</w:t>
      </w:r>
    </w:p>
    <w:p>
      <w:pPr>
        <w:pStyle w:val="ListParagraph"/>
        <w:numPr>
          <w:ilvl w:val="0"/>
          <w:numId w:val="2"/>
        </w:numPr>
        <w:spacing w:after="60" w:before="60"/>
      </w:pPr>
      <w:r>
        <w:rPr>
          <w:rFonts w:ascii="Arial" w:cs="Arial" w:eastAsia="Arial" w:hAnsi="Arial"/>
          <w:b w:val="false"/>
          <w:bCs w:val="false"/>
          <w:color w:val="1E1B4B"/>
          <w:sz w:val="22"/>
          <w:szCs w:val="22"/>
        </w:rPr>
        <w:t xml:space="preserve">K-anonymity: ensure each anonymized record is indistinguishable from at least k-1 others</w:t>
      </w:r>
    </w:p>
    <w:p>
      <w:pPr>
        <w:pStyle w:val="ListParagraph"/>
        <w:numPr>
          <w:ilvl w:val="0"/>
          <w:numId w:val="2"/>
        </w:numPr>
        <w:spacing w:after="60" w:before="60"/>
      </w:pPr>
      <w:r>
        <w:rPr>
          <w:rFonts w:ascii="Arial" w:cs="Arial" w:eastAsia="Arial" w:hAnsi="Arial"/>
          <w:b w:val="false"/>
          <w:bCs w:val="false"/>
          <w:color w:val="1E1B4B"/>
          <w:sz w:val="22"/>
          <w:szCs w:val="22"/>
        </w:rPr>
        <w:t xml:space="preserve">Data generalization: replace exact values with ranges (age 34 → age 30-40, city → region)</w:t>
      </w:r>
    </w:p>
    <w:p>
      <w:pPr>
        <w:pStyle w:val="ListParagraph"/>
        <w:numPr>
          <w:ilvl w:val="0"/>
          <w:numId w:val="2"/>
        </w:numPr>
        <w:spacing w:after="60" w:before="60"/>
      </w:pPr>
      <w:r>
        <w:rPr>
          <w:rFonts w:ascii="Arial" w:cs="Arial" w:eastAsia="Arial" w:hAnsi="Arial"/>
          <w:b w:val="false"/>
          <w:bCs w:val="false"/>
          <w:color w:val="1E1B4B"/>
          <w:sz w:val="22"/>
          <w:szCs w:val="22"/>
        </w:rPr>
        <w:t xml:space="preserve">Identifier stripping: remove all direct and quasi-identifiers before packaging</w:t>
      </w:r>
    </w:p>
    <w:p>
      <w:pPr>
        <w:pBdr>
          <w:bottom w:val="single" w:color="E5E7EB" w:sz="6" w:space="1"/>
        </w:pBdr>
        <w:spacing w:after="200" w:before="200"/>
      </w:pPr>
      <w:r>
        <w:t xml:space="preserve"/>
      </w:r>
    </w:p>
    <w:p>
      <w:pPr>
        <w:pStyle w:val="Heading1"/>
        <w:spacing w:after="160" w:before="480"/>
      </w:pPr>
      <w:r>
        <w:rPr>
          <w:rFonts w:ascii="Arial" w:cs="Arial" w:eastAsia="Arial" w:hAnsi="Arial"/>
          <w:b/>
          <w:bCs/>
          <w:color w:val="2D1B69"/>
          <w:sz w:val="40"/>
          <w:szCs w:val="40"/>
        </w:rPr>
        <w:t xml:space="preserve">06. Real-World Public Impact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r>
              <w:rPr>
                <w:rFonts w:ascii="Arial" w:cs="Arial" w:eastAsia="Arial" w:hAnsi="Arial"/>
                <w:b/>
                <w:bCs/>
                <w:color w:val="FFFFFF"/>
                <w:sz w:val="22"/>
                <w:szCs w:val="22"/>
              </w:rPr>
              <w:t xml:space="preserve">Who Benefits</w:t>
            </w:r>
          </w:p>
        </w:tc>
        <w:tc>
          <w:tcPr>
            <w:tcW w:type="dxa" w:w="4680"/>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r>
              <w:rPr>
                <w:rFonts w:ascii="Arial" w:cs="Arial" w:eastAsia="Arial" w:hAnsi="Arial"/>
                <w:b/>
                <w:bCs/>
                <w:color w:val="FFFFFF"/>
                <w:sz w:val="22"/>
                <w:szCs w:val="22"/>
              </w:rPr>
              <w:t xml:space="preserve">Specific Impact</w:t>
            </w:r>
          </w:p>
        </w:tc>
      </w:tr>
      <w:tr>
        <w:tc>
          <w:tcPr>
            <w:tcW w:type="dxa" w:w="468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color w:val="1E1B4B"/>
                <w:sz w:val="21"/>
                <w:szCs w:val="21"/>
              </w:rPr>
              <w:t xml:space="preserve">Everyday citizens</w:t>
            </w:r>
          </w:p>
        </w:tc>
        <w:tc>
          <w:tcPr>
            <w:tcW w:type="dxa" w:w="468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color w:val="1E1B4B"/>
                <w:sz w:val="21"/>
                <w:szCs w:val="21"/>
              </w:rPr>
              <w:t xml:space="preserve">Invisible protection, zero technical knowledge needed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E1B4B"/>
                <w:sz w:val="21"/>
                <w:szCs w:val="21"/>
              </w:rPr>
              <w:t xml:space="preserve">Domestic abuse survivors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E1B4B"/>
                <w:sz w:val="21"/>
                <w:szCs w:val="21"/>
              </w:rPr>
              <w:t xml:space="preserve">Home address removed from people-search sites stalkers use</w:t>
            </w:r>
          </w:p>
        </w:tc>
      </w:tr>
      <w:tr>
        <w:tc>
          <w:tcPr>
            <w:tcW w:type="dxa" w:w="468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color w:val="1E1B4B"/>
                <w:sz w:val="21"/>
                <w:szCs w:val="21"/>
              </w:rPr>
              <w:t xml:space="preserve">Elderly people</w:t>
            </w:r>
          </w:p>
        </w:tc>
        <w:tc>
          <w:tcPr>
            <w:tcW w:type="dxa" w:w="468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color w:val="1E1B4B"/>
                <w:sz w:val="21"/>
                <w:szCs w:val="21"/>
              </w:rPr>
              <w:t xml:space="preserve">Vulnerability profiles that scam operations target are cleared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E1B4B"/>
                <w:sz w:val="21"/>
                <w:szCs w:val="21"/>
              </w:rPr>
              <w:t xml:space="preserve">Job seekers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E1B4B"/>
                <w:sz w:val="21"/>
                <w:szCs w:val="21"/>
              </w:rPr>
              <w:t xml:space="preserve">Behavioral profiles that discriminate pre-application are removed</w:t>
            </w:r>
          </w:p>
        </w:tc>
      </w:tr>
      <w:tr>
        <w:tc>
          <w:tcPr>
            <w:tcW w:type="dxa" w:w="468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color w:val="1E1B4B"/>
                <w:sz w:val="21"/>
                <w:szCs w:val="21"/>
              </w:rPr>
              <w:t xml:space="preserve">Activists &amp; journalists</w:t>
            </w:r>
          </w:p>
        </w:tc>
        <w:tc>
          <w:tcPr>
            <w:tcW w:type="dxa" w:w="468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color w:val="1E1B4B"/>
                <w:sz w:val="21"/>
                <w:szCs w:val="21"/>
              </w:rPr>
              <w:t xml:space="preserve">Data that authoritarian actors use to identify dissidents is protected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E1B4B"/>
                <w:sz w:val="21"/>
                <w:szCs w:val="21"/>
              </w:rPr>
              <w:t xml:space="preserve">Public health researchers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E1B4B"/>
                <w:sz w:val="21"/>
                <w:szCs w:val="21"/>
              </w:rPr>
              <w:t xml:space="preserve">SafeShare provides anonymized behavioral data for outbreak detection</w:t>
            </w:r>
          </w:p>
        </w:tc>
      </w:tr>
      <w:tr>
        <w:tc>
          <w:tcPr>
            <w:tcW w:type="dxa" w:w="468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color w:val="1E1B4B"/>
                <w:sz w:val="21"/>
                <w:szCs w:val="21"/>
              </w:rPr>
              <w:t xml:space="preserve">City planners</w:t>
            </w:r>
          </w:p>
        </w:tc>
        <w:tc>
          <w:tcPr>
            <w:tcW w:type="dxa" w:w="4680"/>
            <w:tcBorders>
              <w:top w:val="single" w:color="E5E7EB" w:sz="1"/>
              <w:left w:val="single" w:color="E5E7EB" w:sz="1"/>
              <w:bottom w:val="single" w:color="E5E7EB" w:sz="1"/>
              <w:right w:val="single" w:color="E5E7EB" w:sz="1"/>
            </w:tcBorders>
            <w:shd w:fill="E6FFFA" w:val="clear"/>
            <w:tcMar>
              <w:top w:type="dxa" w:w="80"/>
              <w:left w:type="dxa" w:w="120"/>
              <w:bottom w:type="dxa" w:w="80"/>
              <w:right w:type="dxa" w:w="120"/>
            </w:tcMar>
          </w:tcPr>
          <w:p>
            <w:r>
              <w:rPr>
                <w:rFonts w:ascii="Arial" w:cs="Arial" w:eastAsia="Arial" w:hAnsi="Arial"/>
                <w:color w:val="1E1B4B"/>
                <w:sz w:val="21"/>
                <w:szCs w:val="21"/>
              </w:rPr>
              <w:t xml:space="preserve">SafeShare provides movement patterns for infrastructure planning</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8"/>
              <w:left w:val="single" w:color="059669" w:sz="8"/>
              <w:bottom w:val="single" w:color="059669" w:sz="8"/>
              <w:right w:val="single" w:color="059669" w:sz="8"/>
            </w:tcBorders>
            <w:shd w:fill="F0FDF4" w:val="clear"/>
            <w:tcMar>
              <w:top w:type="dxa" w:w="160"/>
              <w:left w:type="dxa" w:w="200"/>
              <w:bottom w:type="dxa" w:w="160"/>
              <w:right w:type="dxa" w:w="200"/>
            </w:tcMar>
          </w:tcPr>
          <w:p>
            <w:pPr>
              <w:spacing w:after="60" w:before="0"/>
            </w:pPr>
            <w:r>
              <w:rPr>
                <w:rFonts w:ascii="Arial" w:cs="Arial" w:eastAsia="Arial" w:hAnsi="Arial"/>
                <w:b/>
                <w:bCs/>
                <w:color w:val="059669"/>
                <w:sz w:val="22"/>
                <w:szCs w:val="22"/>
              </w:rPr>
              <w:t xml:space="preserve">THE IMPACT IS IMMEDIATE AND MEASURABLE</w:t>
            </w:r>
          </w:p>
          <w:p>
            <w:pPr>
              <w:spacing w:after="0" w:before="40"/>
            </w:pPr>
            <w:r>
              <w:rPr>
                <w:rFonts w:ascii="Arial" w:cs="Arial" w:eastAsia="Arial" w:hAnsi="Arial"/>
                <w:color w:val="1E1B4B"/>
                <w:sz w:val="21"/>
                <w:szCs w:val="21"/>
              </w:rPr>
              <w:t xml:space="preserve">Unlike most tech projects where impact is theoretical, DataVault shows a concrete number: "X brokers have been served opt-out requests. Your data footprint has been reduced by Y%. Your risk score has dropped from 87 to 34." This is impact you can demo in real time, in the room, in front of judges.</w:t>
            </w:r>
          </w:p>
        </w:tc>
      </w:tr>
    </w:tbl>
    <w:p>
      <w:pPr>
        <w:pBdr>
          <w:bottom w:val="single" w:color="E5E7EB" w:sz="6" w:space="1"/>
        </w:pBdr>
        <w:spacing w:after="200" w:before="200"/>
      </w:pPr>
      <w:r>
        <w:t xml:space="preserve"/>
      </w:r>
    </w:p>
    <w:p>
      <w:pPr>
        <w:pStyle w:val="Heading1"/>
        <w:spacing w:after="160" w:before="480"/>
      </w:pPr>
      <w:r>
        <w:rPr>
          <w:rFonts w:ascii="Arial" w:cs="Arial" w:eastAsia="Arial" w:hAnsi="Arial"/>
          <w:b/>
          <w:bCs/>
          <w:color w:val="2D1B69"/>
          <w:sz w:val="40"/>
          <w:szCs w:val="40"/>
        </w:rPr>
        <w:t xml:space="preserve">07. Judging Criteria — How We Win Each 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C4899" w:sz="4"/>
              <w:left w:val="single" w:color="EC4899" w:sz="4"/>
              <w:bottom w:val="single" w:color="EC4899" w:sz="4"/>
              <w:right w:val="single" w:color="EC4899" w:sz="4"/>
            </w:tcBorders>
            <w:shd w:fill="EC4899" w:val="clear"/>
            <w:tcMar>
              <w:top w:type="dxa" w:w="100"/>
              <w:left w:type="dxa" w:w="120"/>
              <w:bottom w:type="dxa" w:w="100"/>
              <w:right w:type="dxa" w:w="120"/>
            </w:tcMar>
          </w:tcPr>
          <w:p>
            <w:r>
              <w:rPr>
                <w:rFonts w:ascii="Arial" w:cs="Arial" w:eastAsia="Arial" w:hAnsi="Arial"/>
                <w:b/>
                <w:bCs/>
                <w:color w:val="FFFFFF"/>
                <w:sz w:val="22"/>
                <w:szCs w:val="22"/>
              </w:rPr>
              <w:t xml:space="preserve">Judging Criterion</w:t>
            </w:r>
          </w:p>
        </w:tc>
        <w:tc>
          <w:tcPr>
            <w:tcW w:type="dxa" w:w="6560"/>
            <w:tcBorders>
              <w:top w:val="single" w:color="EC4899" w:sz="4"/>
              <w:left w:val="single" w:color="EC4899" w:sz="4"/>
              <w:bottom w:val="single" w:color="EC4899" w:sz="4"/>
              <w:right w:val="single" w:color="EC4899" w:sz="4"/>
            </w:tcBorders>
            <w:shd w:fill="EC4899" w:val="clear"/>
            <w:tcMar>
              <w:top w:type="dxa" w:w="100"/>
              <w:left w:type="dxa" w:w="120"/>
              <w:bottom w:type="dxa" w:w="100"/>
              <w:right w:type="dxa" w:w="120"/>
            </w:tcMar>
          </w:tcPr>
          <w:p>
            <w:r>
              <w:rPr>
                <w:rFonts w:ascii="Arial" w:cs="Arial" w:eastAsia="Arial" w:hAnsi="Arial"/>
                <w:b/>
                <w:bCs/>
                <w:color w:val="FFFFFF"/>
                <w:sz w:val="22"/>
                <w:szCs w:val="22"/>
              </w:rPr>
              <w:t xml:space="preserve">How DataVault Wins It</w:t>
            </w:r>
          </w:p>
        </w:tc>
      </w:tr>
      <w:tr>
        <w:tc>
          <w:tcPr>
            <w:tcW w:type="dxa" w:w="2800"/>
            <w:tcBorders>
              <w:top w:val="single" w:color="E5E7EB" w:sz="1"/>
              <w:left w:val="single" w:color="E5E7EB" w:sz="1"/>
              <w:bottom w:val="single" w:color="E5E7EB" w:sz="1"/>
              <w:right w:val="single" w:color="E5E7EB" w:sz="1"/>
            </w:tcBorders>
            <w:shd w:fill="FDF2F8" w:val="clear"/>
            <w:tcMar>
              <w:top w:type="dxa" w:w="80"/>
              <w:left w:type="dxa" w:w="120"/>
              <w:bottom w:type="dxa" w:w="80"/>
              <w:right w:type="dxa" w:w="120"/>
            </w:tcMar>
          </w:tcPr>
          <w:p>
            <w:r>
              <w:rPr>
                <w:rFonts w:ascii="Arial" w:cs="Arial" w:eastAsia="Arial" w:hAnsi="Arial"/>
                <w:b/>
                <w:bCs/>
                <w:color w:val="1E1B4B"/>
                <w:sz w:val="21"/>
                <w:szCs w:val="21"/>
              </w:rPr>
              <w:t xml:space="preserve">Problem &amp; Idea Quality</w:t>
            </w:r>
          </w:p>
        </w:tc>
        <w:tc>
          <w:tcPr>
            <w:tcW w:type="dxa" w:w="6560"/>
            <w:tcBorders>
              <w:top w:val="single" w:color="E5E7EB" w:sz="1"/>
              <w:left w:val="single" w:color="E5E7EB" w:sz="1"/>
              <w:bottom w:val="single" w:color="E5E7EB" w:sz="1"/>
              <w:right w:val="single" w:color="E5E7EB" w:sz="1"/>
            </w:tcBorders>
            <w:shd w:fill="FDF2F8" w:val="clear"/>
            <w:tcMar>
              <w:top w:type="dxa" w:w="80"/>
              <w:left w:type="dxa" w:w="120"/>
              <w:bottom w:type="dxa" w:w="80"/>
              <w:right w:type="dxa" w:w="120"/>
            </w:tcMar>
          </w:tcPr>
          <w:p>
            <w:r>
              <w:rPr>
                <w:rFonts w:ascii="Arial" w:cs="Arial" w:eastAsia="Arial" w:hAnsi="Arial"/>
                <w:b w:val="false"/>
                <w:bCs w:val="false"/>
                <w:color w:val="1E1B4B"/>
                <w:sz w:val="21"/>
                <w:szCs w:val="21"/>
              </w:rPr>
              <w:t xml:space="preserve">DataVault + SafeShare solves a documented $300B problem affecting every human. The dual-sided approach (protect privacy AND enable voluntary public safety contribution) is highly original. No existing hackathon project combines AI opt-out automation with consent-based data sharing.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Technical Execution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Clean modular architecture: React frontend, Node.js/Express backend, PostgreSQL for tracking, Python ML for risk scoring, LLM API for letter generation. Every technology choice is justified. Well-documented codebase with clear separation of concerns.</w:t>
            </w:r>
          </w:p>
        </w:tc>
      </w:tr>
      <w:tr>
        <w:tc>
          <w:tcPr>
            <w:tcW w:type="dxa" w:w="2800"/>
            <w:tcBorders>
              <w:top w:val="single" w:color="E5E7EB" w:sz="1"/>
              <w:left w:val="single" w:color="E5E7EB" w:sz="1"/>
              <w:bottom w:val="single" w:color="E5E7EB" w:sz="1"/>
              <w:right w:val="single" w:color="E5E7EB" w:sz="1"/>
            </w:tcBorders>
            <w:shd w:fill="FDF2F8" w:val="clear"/>
            <w:tcMar>
              <w:top w:type="dxa" w:w="80"/>
              <w:left w:type="dxa" w:w="120"/>
              <w:bottom w:type="dxa" w:w="80"/>
              <w:right w:type="dxa" w:w="120"/>
            </w:tcMar>
          </w:tcPr>
          <w:p>
            <w:r>
              <w:rPr>
                <w:rFonts w:ascii="Arial" w:cs="Arial" w:eastAsia="Arial" w:hAnsi="Arial"/>
                <w:b/>
                <w:bCs/>
                <w:color w:val="1E1B4B"/>
                <w:sz w:val="21"/>
                <w:szCs w:val="21"/>
              </w:rPr>
              <w:t xml:space="preserve">Functionality &amp; Execution</w:t>
            </w:r>
          </w:p>
        </w:tc>
        <w:tc>
          <w:tcPr>
            <w:tcW w:type="dxa" w:w="6560"/>
            <w:tcBorders>
              <w:top w:val="single" w:color="E5E7EB" w:sz="1"/>
              <w:left w:val="single" w:color="E5E7EB" w:sz="1"/>
              <w:bottom w:val="single" w:color="E5E7EB" w:sz="1"/>
              <w:right w:val="single" w:color="E5E7EB" w:sz="1"/>
            </w:tcBorders>
            <w:shd w:fill="FDF2F8" w:val="clear"/>
            <w:tcMar>
              <w:top w:type="dxa" w:w="80"/>
              <w:left w:type="dxa" w:w="120"/>
              <w:bottom w:type="dxa" w:w="80"/>
              <w:right w:type="dxa" w:w="120"/>
            </w:tcMar>
          </w:tcPr>
          <w:p>
            <w:r>
              <w:rPr>
                <w:rFonts w:ascii="Arial" w:cs="Arial" w:eastAsia="Arial" w:hAnsi="Arial"/>
                <w:b w:val="false"/>
                <w:bCs w:val="false"/>
                <w:color w:val="1E1B4B"/>
                <w:sz w:val="21"/>
                <w:szCs w:val="21"/>
              </w:rPr>
              <w:t xml:space="preserve">Full working prototype: live exposure scanner, AI opt-out agent, compliance tracker, SafeShare consent flow, real-time dashboard. Every feature is demo-able end-to-end within the hackathon window.</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Impact &amp; Feasibility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Immediate real-world impact on every person alive. No institutional dependency to function. Scalable to millions of users. Post-hackathon path to real product is clear and credible.</w:t>
            </w:r>
          </w:p>
        </w:tc>
      </w:tr>
      <w:tr>
        <w:tc>
          <w:tcPr>
            <w:tcW w:type="dxa" w:w="2800"/>
            <w:tcBorders>
              <w:top w:val="single" w:color="E5E7EB" w:sz="1"/>
              <w:left w:val="single" w:color="E5E7EB" w:sz="1"/>
              <w:bottom w:val="single" w:color="E5E7EB" w:sz="1"/>
              <w:right w:val="single" w:color="E5E7EB" w:sz="1"/>
            </w:tcBorders>
            <w:shd w:fill="FDF2F8" w:val="clear"/>
            <w:tcMar>
              <w:top w:type="dxa" w:w="80"/>
              <w:left w:type="dxa" w:w="120"/>
              <w:bottom w:type="dxa" w:w="80"/>
              <w:right w:type="dxa" w:w="120"/>
            </w:tcMar>
          </w:tcPr>
          <w:p>
            <w:r>
              <w:rPr>
                <w:rFonts w:ascii="Arial" w:cs="Arial" w:eastAsia="Arial" w:hAnsi="Arial"/>
                <w:b/>
                <w:bCs/>
                <w:color w:val="1E1B4B"/>
                <w:sz w:val="21"/>
                <w:szCs w:val="21"/>
              </w:rPr>
              <w:t xml:space="preserve">Presentation &amp; Communication</w:t>
            </w:r>
          </w:p>
        </w:tc>
        <w:tc>
          <w:tcPr>
            <w:tcW w:type="dxa" w:w="6560"/>
            <w:tcBorders>
              <w:top w:val="single" w:color="E5E7EB" w:sz="1"/>
              <w:left w:val="single" w:color="E5E7EB" w:sz="1"/>
              <w:bottom w:val="single" w:color="E5E7EB" w:sz="1"/>
              <w:right w:val="single" w:color="E5E7EB" w:sz="1"/>
            </w:tcBorders>
            <w:shd w:fill="FDF2F8" w:val="clear"/>
            <w:tcMar>
              <w:top w:type="dxa" w:w="80"/>
              <w:left w:type="dxa" w:w="120"/>
              <w:bottom w:type="dxa" w:w="80"/>
              <w:right w:type="dxa" w:w="120"/>
            </w:tcMar>
          </w:tcPr>
          <w:p>
            <w:r>
              <w:rPr>
                <w:rFonts w:ascii="Arial" w:cs="Arial" w:eastAsia="Arial" w:hAnsi="Arial"/>
                <w:b w:val="false"/>
                <w:bCs w:val="false"/>
                <w:color w:val="1E1B4B"/>
                <w:sz w:val="21"/>
                <w:szCs w:val="21"/>
              </w:rPr>
              <w:t xml:space="preserve">Demo opens with showing a judge's own data on broker sites — visceral, unforgettable. Clear narrative arc: Problem → Scale → Solution → Impact → Live Demo → Future Vision.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Aesthetic &amp; User Experience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Dashboard is clean, data-driven, emotionally resonant. Risk score drops visually as agent works. SafeShare toggle is simple and transparent. Zero technical knowledge required from users.</w:t>
            </w:r>
          </w:p>
        </w:tc>
      </w:tr>
      <w:tr>
        <w:tc>
          <w:tcPr>
            <w:tcW w:type="dxa" w:w="2800"/>
            <w:tcBorders>
              <w:top w:val="single" w:color="E5E7EB" w:sz="1"/>
              <w:left w:val="single" w:color="E5E7EB" w:sz="1"/>
              <w:bottom w:val="single" w:color="E5E7EB" w:sz="1"/>
              <w:right w:val="single" w:color="E5E7EB" w:sz="1"/>
            </w:tcBorders>
            <w:shd w:fill="FDF2F8" w:val="clear"/>
            <w:tcMar>
              <w:top w:type="dxa" w:w="80"/>
              <w:left w:type="dxa" w:w="120"/>
              <w:bottom w:type="dxa" w:w="80"/>
              <w:right w:type="dxa" w:w="120"/>
            </w:tcMar>
          </w:tcPr>
          <w:p>
            <w:r>
              <w:rPr>
                <w:rFonts w:ascii="Arial" w:cs="Arial" w:eastAsia="Arial" w:hAnsi="Arial"/>
                <w:b/>
                <w:bCs/>
                <w:color w:val="1E1B4B"/>
                <w:sz w:val="21"/>
                <w:szCs w:val="21"/>
              </w:rPr>
              <w:t xml:space="preserve">Problem Complexity &amp; Approach</w:t>
            </w:r>
          </w:p>
        </w:tc>
        <w:tc>
          <w:tcPr>
            <w:tcW w:type="dxa" w:w="6560"/>
            <w:tcBorders>
              <w:top w:val="single" w:color="E5E7EB" w:sz="1"/>
              <w:left w:val="single" w:color="E5E7EB" w:sz="1"/>
              <w:bottom w:val="single" w:color="E5E7EB" w:sz="1"/>
              <w:right w:val="single" w:color="E5E7EB" w:sz="1"/>
            </w:tcBorders>
            <w:shd w:fill="FDF2F8" w:val="clear"/>
            <w:tcMar>
              <w:top w:type="dxa" w:w="80"/>
              <w:left w:type="dxa" w:w="120"/>
              <w:bottom w:type="dxa" w:w="80"/>
              <w:right w:type="dxa" w:w="120"/>
            </w:tcMar>
          </w:tcPr>
          <w:p>
            <w:r>
              <w:rPr>
                <w:rFonts w:ascii="Arial" w:cs="Arial" w:eastAsia="Arial" w:hAnsi="Arial"/>
                <w:b w:val="false"/>
                <w:bCs w:val="false"/>
                <w:color w:val="1E1B4B"/>
                <w:sz w:val="21"/>
                <w:szCs w:val="21"/>
              </w:rPr>
              <w:t xml:space="preserve">Tackles the surveillance vs privacy tension from both sides simultaneously — the hardest version of the problem. AI agent, NLP letter generation, continuous monitoring, and consent infrastructure in one system.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Use of Technology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LLM for legal document generation, ML for risk scoring and anomaly detection, web scraping for real-time broker monitoring, optional blockchain for SafeShare audit trail. Every tool solves a specific problem — none is included for show.</w:t>
            </w:r>
          </w:p>
        </w:tc>
      </w:tr>
    </w:tbl>
    <w:p>
      <w:pPr>
        <w:pBdr>
          <w:bottom w:val="single" w:color="E5E7EB" w:sz="6" w:space="1"/>
        </w:pBdr>
        <w:spacing w:after="200" w:before="200"/>
      </w:pPr>
      <w:r>
        <w:t xml:space="preserve"/>
      </w:r>
    </w:p>
    <w:p>
      <w:pPr>
        <w:pStyle w:val="Heading1"/>
        <w:spacing w:after="160" w:before="480"/>
      </w:pPr>
      <w:r>
        <w:rPr>
          <w:rFonts w:ascii="Arial" w:cs="Arial" w:eastAsia="Arial" w:hAnsi="Arial"/>
          <w:b/>
          <w:bCs/>
          <w:color w:val="2D1B69"/>
          <w:sz w:val="40"/>
          <w:szCs w:val="40"/>
        </w:rPr>
        <w:t xml:space="preserve">08. Honest Project Scorecard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6B21A8" w:sz="4"/>
              <w:left w:val="single" w:color="6B21A8" w:sz="4"/>
              <w:bottom w:val="single" w:color="6B21A8" w:sz="4"/>
              <w:right w:val="single" w:color="6B21A8" w:sz="4"/>
            </w:tcBorders>
            <w:shd w:fill="2D1B69" w:val="clear"/>
            <w:tcMar>
              <w:top w:type="dxa" w:w="100"/>
              <w:left w:type="dxa" w:w="120"/>
              <w:bottom w:type="dxa" w:w="100"/>
              <w:right w:type="dxa" w:w="120"/>
            </w:tcMar>
          </w:tcPr>
          <w:p>
            <w:r>
              <w:rPr>
                <w:rFonts w:ascii="Arial" w:cs="Arial" w:eastAsia="Arial" w:hAnsi="Arial"/>
                <w:b/>
                <w:bCs/>
                <w:color w:val="FFFFFF"/>
                <w:sz w:val="22"/>
                <w:szCs w:val="22"/>
              </w:rPr>
              <w:t xml:space="preserve">Dimension</w:t>
            </w:r>
          </w:p>
        </w:tc>
        <w:tc>
          <w:tcPr>
            <w:tcW w:type="dxa" w:w="1400"/>
            <w:tcBorders>
              <w:top w:val="single" w:color="6B21A8" w:sz="4"/>
              <w:left w:val="single" w:color="6B21A8" w:sz="4"/>
              <w:bottom w:val="single" w:color="6B21A8" w:sz="4"/>
              <w:right w:val="single" w:color="6B21A8" w:sz="4"/>
            </w:tcBorders>
            <w:shd w:fill="2D1B69" w:val="clear"/>
            <w:tcMar>
              <w:top w:type="dxa" w:w="100"/>
              <w:left w:type="dxa" w:w="120"/>
              <w:bottom w:type="dxa" w:w="100"/>
              <w:right w:type="dxa" w:w="120"/>
            </w:tcMar>
          </w:tcPr>
          <w:p>
            <w:r>
              <w:rPr>
                <w:rFonts w:ascii="Arial" w:cs="Arial" w:eastAsia="Arial" w:hAnsi="Arial"/>
                <w:b/>
                <w:bCs/>
                <w:color w:val="FFFFFF"/>
                <w:sz w:val="22"/>
                <w:szCs w:val="22"/>
              </w:rPr>
              <w:t xml:space="preserve">Score</w:t>
            </w:r>
          </w:p>
        </w:tc>
        <w:tc>
          <w:tcPr>
            <w:tcW w:type="dxa" w:w="5160"/>
            <w:tcBorders>
              <w:top w:val="single" w:color="6B21A8" w:sz="4"/>
              <w:left w:val="single" w:color="6B21A8" w:sz="4"/>
              <w:bottom w:val="single" w:color="6B21A8" w:sz="4"/>
              <w:right w:val="single" w:color="6B21A8" w:sz="4"/>
            </w:tcBorders>
            <w:shd w:fill="2D1B69"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8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val="false"/>
                <w:bCs w:val="false"/>
                <w:color w:val="1E1B4B"/>
                <w:sz w:val="21"/>
                <w:szCs w:val="21"/>
              </w:rPr>
              <w:t xml:space="preserve">Practicality</w:t>
            </w:r>
          </w:p>
        </w:tc>
        <w:tc>
          <w:tcPr>
            <w:tcW w:type="dxa" w:w="14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val="false"/>
                <w:bCs w:val="false"/>
                <w:color w:val="1E1B4B"/>
                <w:sz w:val="21"/>
                <w:szCs w:val="21"/>
              </w:rPr>
              <w:t xml:space="preserve">9.5 / 10</w:t>
            </w:r>
          </w:p>
        </w:tc>
        <w:tc>
          <w:tcPr>
            <w:tcW w:type="dxa" w:w="516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val="false"/>
                <w:bCs w:val="false"/>
                <w:color w:val="1E1B4B"/>
                <w:sz w:val="21"/>
                <w:szCs w:val="21"/>
              </w:rPr>
              <w:t xml:space="preserve">Solves a real problem today. No institutional dependency needed.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Feasibility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9 / 10</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Buildable with standard tools. LLM + scraping + React = familiar stack.</w:t>
            </w:r>
          </w:p>
        </w:tc>
      </w:tr>
      <w:tr>
        <w:tc>
          <w:tcPr>
            <w:tcW w:type="dxa" w:w="28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val="false"/>
                <w:bCs w:val="false"/>
                <w:color w:val="1E1B4B"/>
                <w:sz w:val="21"/>
                <w:szCs w:val="21"/>
              </w:rPr>
              <w:t xml:space="preserve">Reliability</w:t>
            </w:r>
          </w:p>
        </w:tc>
        <w:tc>
          <w:tcPr>
            <w:tcW w:type="dxa" w:w="14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val="false"/>
                <w:bCs w:val="false"/>
                <w:color w:val="1E1B4B"/>
                <w:sz w:val="21"/>
                <w:szCs w:val="21"/>
              </w:rPr>
              <w:t xml:space="preserve">8 / 10</w:t>
            </w:r>
          </w:p>
        </w:tc>
        <w:tc>
          <w:tcPr>
            <w:tcW w:type="dxa" w:w="516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val="false"/>
                <w:bCs w:val="false"/>
                <w:color w:val="1E1B4B"/>
                <w:sz w:val="21"/>
                <w:szCs w:val="21"/>
              </w:rPr>
              <w:t xml:space="preserve">Core features solid. Scraping is brittle — mock the demo layer smartly.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Scalability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8.5 / 10</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No central identity store. Queue-based monitoring scales cleanly.</w:t>
            </w:r>
          </w:p>
        </w:tc>
      </w:tr>
      <w:tr>
        <w:tc>
          <w:tcPr>
            <w:tcW w:type="dxa" w:w="28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val="false"/>
                <w:bCs w:val="false"/>
                <w:color w:val="1E1B4B"/>
                <w:sz w:val="21"/>
                <w:szCs w:val="21"/>
              </w:rPr>
              <w:t xml:space="preserve">Usability</w:t>
            </w:r>
          </w:p>
        </w:tc>
        <w:tc>
          <w:tcPr>
            <w:tcW w:type="dxa" w:w="14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val="false"/>
                <w:bCs w:val="false"/>
                <w:color w:val="1E1B4B"/>
                <w:sz w:val="21"/>
                <w:szCs w:val="21"/>
              </w:rPr>
              <w:t xml:space="preserve">9 / 10</w:t>
            </w:r>
          </w:p>
        </w:tc>
        <w:tc>
          <w:tcPr>
            <w:tcW w:type="dxa" w:w="516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val="false"/>
                <w:bCs w:val="false"/>
                <w:color w:val="1E1B4B"/>
                <w:sz w:val="21"/>
                <w:szCs w:val="21"/>
              </w:rPr>
              <w:t xml:space="preserve">Zero technical knowledge required. Immediate visible value on signup.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Challenge Fit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9.5 / 10</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Explicitly answers both sides of the fine line with SafeShare.</w:t>
            </w:r>
          </w:p>
        </w:tc>
      </w:tr>
      <w:tr>
        <w:tc>
          <w:tcPr>
            <w:tcW w:type="dxa" w:w="28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val="false"/>
                <w:bCs w:val="false"/>
                <w:color w:val="1E1B4B"/>
                <w:sz w:val="21"/>
                <w:szCs w:val="21"/>
              </w:rPr>
              <w:t xml:space="preserve">Demo Impact</w:t>
            </w:r>
          </w:p>
        </w:tc>
        <w:tc>
          <w:tcPr>
            <w:tcW w:type="dxa" w:w="14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val="false"/>
                <w:bCs w:val="false"/>
                <w:color w:val="1E1B4B"/>
                <w:sz w:val="21"/>
                <w:szCs w:val="21"/>
              </w:rPr>
              <w:t xml:space="preserve">10 / 10</w:t>
            </w:r>
          </w:p>
        </w:tc>
        <w:tc>
          <w:tcPr>
            <w:tcW w:type="dxa" w:w="516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val="false"/>
                <w:bCs w:val="false"/>
                <w:color w:val="1E1B4B"/>
                <w:sz w:val="21"/>
                <w:szCs w:val="21"/>
              </w:rPr>
              <w:t xml:space="preserve">Showing a judge's real data live is unforgettable.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OVERALL</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9.1 / 10</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Strongest, most complete, most winnable idea on the table.</w:t>
            </w:r>
          </w:p>
        </w:tc>
      </w:tr>
    </w:tbl>
    <w:p>
      <w:pPr>
        <w:pBdr>
          <w:bottom w:val="single" w:color="E5E7EB" w:sz="6" w:space="1"/>
        </w:pBdr>
        <w:spacing w:after="200" w:before="200"/>
      </w:pPr>
      <w:r>
        <w:t xml:space="preserve"/>
      </w:r>
    </w:p>
    <w:p>
      <w:pPr>
        <w:pStyle w:val="Heading1"/>
        <w:spacing w:after="160" w:before="480"/>
      </w:pPr>
      <w:r>
        <w:rPr>
          <w:rFonts w:ascii="Arial" w:cs="Arial" w:eastAsia="Arial" w:hAnsi="Arial"/>
          <w:b/>
          <w:bCs/>
          <w:color w:val="2D1B69"/>
          <w:sz w:val="40"/>
          <w:szCs w:val="40"/>
        </w:rPr>
        <w:t xml:space="preserve">09. 48-Hour Build Plan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2563EB" w:sz="4"/>
              <w:left w:val="single" w:color="2563EB" w:sz="4"/>
              <w:bottom w:val="single" w:color="2563EB" w:sz="4"/>
              <w:right w:val="single" w:color="2563EB" w:sz="4"/>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Timeframe</w:t>
            </w:r>
          </w:p>
        </w:tc>
        <w:tc>
          <w:tcPr>
            <w:tcW w:type="dxa" w:w="1800"/>
            <w:tcBorders>
              <w:top w:val="single" w:color="2563EB" w:sz="4"/>
              <w:left w:val="single" w:color="2563EB" w:sz="4"/>
              <w:bottom w:val="single" w:color="2563EB" w:sz="4"/>
              <w:right w:val="single" w:color="2563EB" w:sz="4"/>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5960"/>
            <w:tcBorders>
              <w:top w:val="single" w:color="2563EB" w:sz="4"/>
              <w:left w:val="single" w:color="2563EB" w:sz="4"/>
              <w:bottom w:val="single" w:color="2563EB" w:sz="4"/>
              <w:right w:val="single" w:color="2563EB" w:sz="4"/>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Tasks</w:t>
            </w:r>
          </w:p>
        </w:tc>
      </w:tr>
      <w:tr>
        <w:tc>
          <w:tcPr>
            <w:tcW w:type="dxa" w:w="1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1B4B"/>
                <w:sz w:val="21"/>
                <w:szCs w:val="21"/>
              </w:rPr>
              <w:t xml:space="preserve">Hour 0–2</w:t>
            </w:r>
          </w:p>
        </w:tc>
        <w:tc>
          <w:tcPr>
            <w:tcW w:type="dxa" w:w="1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1B4B"/>
                <w:sz w:val="21"/>
                <w:szCs w:val="21"/>
              </w:rPr>
              <w:t xml:space="preserve">Setup</w:t>
            </w:r>
          </w:p>
        </w:tc>
        <w:tc>
          <w:tcPr>
            <w:tcW w:type="dxa" w:w="59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1E1B4B"/>
                <w:sz w:val="21"/>
                <w:szCs w:val="21"/>
              </w:rPr>
              <w:t xml:space="preserve">Repo init, DB schema, broker dataset loaded, API keys configured</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Hour 2–6</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Scanner</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Broker scraper working, exposure report generated, risk score calculated</w:t>
            </w:r>
          </w:p>
        </w:tc>
      </w:tr>
      <w:tr>
        <w:tc>
          <w:tcPr>
            <w:tcW w:type="dxa" w:w="1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1B4B"/>
                <w:sz w:val="21"/>
                <w:szCs w:val="21"/>
              </w:rPr>
              <w:t xml:space="preserve">Hour 6–10</w:t>
            </w:r>
          </w:p>
        </w:tc>
        <w:tc>
          <w:tcPr>
            <w:tcW w:type="dxa" w:w="1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1B4B"/>
                <w:sz w:val="21"/>
                <w:szCs w:val="21"/>
              </w:rPr>
              <w:t xml:space="preserve">AI Agent</w:t>
            </w:r>
          </w:p>
        </w:tc>
        <w:tc>
          <w:tcPr>
            <w:tcW w:type="dxa" w:w="59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1E1B4B"/>
                <w:sz w:val="21"/>
                <w:szCs w:val="21"/>
              </w:rPr>
              <w:t xml:space="preserve">LLM letter generation working for top 50 brokers, jurisdiction detection</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Hour 10–14</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Dashboard</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React frontend: exposure report, risk score, request tracker live</w:t>
            </w:r>
          </w:p>
        </w:tc>
      </w:tr>
      <w:tr>
        <w:tc>
          <w:tcPr>
            <w:tcW w:type="dxa" w:w="1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1B4B"/>
                <w:sz w:val="21"/>
                <w:szCs w:val="21"/>
              </w:rPr>
              <w:t xml:space="preserve">Hour 14–20</w:t>
            </w:r>
          </w:p>
        </w:tc>
        <w:tc>
          <w:tcPr>
            <w:tcW w:type="dxa" w:w="1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1B4B"/>
                <w:sz w:val="21"/>
                <w:szCs w:val="21"/>
              </w:rPr>
              <w:t xml:space="preserve">Monitor</w:t>
            </w:r>
          </w:p>
        </w:tc>
        <w:tc>
          <w:tcPr>
            <w:tcW w:type="dxa" w:w="59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1E1B4B"/>
                <w:sz w:val="21"/>
                <w:szCs w:val="21"/>
              </w:rPr>
              <w:t xml:space="preserve">Background monitoring loop, re-listing detection, auto re-file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Hour 20–24</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SafeShare</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Consent toggle UI, anonymized data packaging, mock agency portal</w:t>
            </w:r>
          </w:p>
        </w:tc>
      </w:tr>
      <w:tr>
        <w:tc>
          <w:tcPr>
            <w:tcW w:type="dxa" w:w="1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1B4B"/>
                <w:sz w:val="21"/>
                <w:szCs w:val="21"/>
              </w:rPr>
              <w:t xml:space="preserve">Hour 24–32</w:t>
            </w:r>
          </w:p>
        </w:tc>
        <w:tc>
          <w:tcPr>
            <w:tcW w:type="dxa" w:w="1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1B4B"/>
                <w:sz w:val="21"/>
                <w:szCs w:val="21"/>
              </w:rPr>
              <w:t xml:space="preserve">Polish</w:t>
            </w:r>
          </w:p>
        </w:tc>
        <w:tc>
          <w:tcPr>
            <w:tcW w:type="dxa" w:w="59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1E1B4B"/>
                <w:sz w:val="21"/>
                <w:szCs w:val="21"/>
              </w:rPr>
              <w:t xml:space="preserve">UI refinement, edge cases, error handling, loading states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Hour 32–40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E1B4B"/>
                <w:sz w:val="21"/>
                <w:szCs w:val="21"/>
              </w:rPr>
              <w:t xml:space="preserve">Demo Prep</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E1B4B"/>
                <w:sz w:val="21"/>
                <w:szCs w:val="21"/>
              </w:rPr>
              <w:t xml:space="preserve">Rehearse demo flow, prepare pitch, stress-test key features</w:t>
            </w:r>
          </w:p>
        </w:tc>
      </w:tr>
      <w:tr>
        <w:tc>
          <w:tcPr>
            <w:tcW w:type="dxa" w:w="1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1B4B"/>
                <w:sz w:val="21"/>
                <w:szCs w:val="21"/>
              </w:rPr>
              <w:t xml:space="preserve">Hour 40–48</w:t>
            </w:r>
          </w:p>
        </w:tc>
        <w:tc>
          <w:tcPr>
            <w:tcW w:type="dxa" w:w="1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1B4B"/>
                <w:sz w:val="21"/>
                <w:szCs w:val="21"/>
              </w:rPr>
              <w:t xml:space="preserve">Buffer</w:t>
            </w:r>
          </w:p>
        </w:tc>
        <w:tc>
          <w:tcPr>
            <w:tcW w:type="dxa" w:w="59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1E1B4B"/>
                <w:sz w:val="21"/>
                <w:szCs w:val="21"/>
              </w:rPr>
              <w:t xml:space="preserve">Bug fixes, slide deck, final rehearsal</w:t>
            </w:r>
          </w:p>
        </w:tc>
      </w:tr>
    </w:tbl>
    <w:p>
      <w:pPr>
        <w:spacing w:after="0" w:before="160"/>
      </w:pPr>
      <w:r>
        <w:t xml:space="preserve"/>
      </w:r>
    </w:p>
    <w:p>
      <w:pPr>
        <w:pStyle w:val="Heading2"/>
        <w:pBdr>
          <w:bottom w:val="single" w:color="2563EB" w:sz="4" w:space="4"/>
        </w:pBdr>
        <w:spacing w:after="120" w:before="360"/>
      </w:pPr>
      <w:r>
        <w:rPr>
          <w:rFonts w:ascii="Arial" w:cs="Arial" w:eastAsia="Arial" w:hAnsi="Arial"/>
          <w:b/>
          <w:bCs/>
          <w:color w:val="2563EB"/>
          <w:sz w:val="30"/>
          <w:szCs w:val="30"/>
        </w:rPr>
        <w:t xml:space="preserve">Team Role Split</w:t>
      </w:r>
    </w:p>
    <w:p>
      <w:pPr>
        <w:pStyle w:val="ListParagraph"/>
        <w:numPr>
          <w:ilvl w:val="0"/>
          <w:numId w:val="2"/>
        </w:numPr>
        <w:spacing w:after="60" w:before="60"/>
      </w:pPr>
      <w:r>
        <w:rPr>
          <w:rFonts w:ascii="Arial" w:cs="Arial" w:eastAsia="Arial" w:hAnsi="Arial"/>
          <w:b w:val="false"/>
          <w:bCs w:val="false"/>
          <w:color w:val="1E1B4B"/>
          <w:sz w:val="22"/>
          <w:szCs w:val="22"/>
        </w:rPr>
        <w:t xml:space="preserve">Person 1 (Frontend) — React dashboard, exposure report UI, SafeShare toggle, risk score visualization</w:t>
      </w:r>
    </w:p>
    <w:p>
      <w:pPr>
        <w:pStyle w:val="ListParagraph"/>
        <w:numPr>
          <w:ilvl w:val="0"/>
          <w:numId w:val="2"/>
        </w:numPr>
        <w:spacing w:after="60" w:before="60"/>
      </w:pPr>
      <w:r>
        <w:rPr>
          <w:rFonts w:ascii="Arial" w:cs="Arial" w:eastAsia="Arial" w:hAnsi="Arial"/>
          <w:b w:val="false"/>
          <w:bCs w:val="false"/>
          <w:color w:val="1E1B4B"/>
          <w:sz w:val="22"/>
          <w:szCs w:val="22"/>
        </w:rPr>
        <w:t xml:space="preserve">Person 2 (Backend) — Node/Express API, PostgreSQL schema, opt-out request tracking, job queue</w:t>
      </w:r>
    </w:p>
    <w:p>
      <w:pPr>
        <w:pStyle w:val="ListParagraph"/>
        <w:numPr>
          <w:ilvl w:val="0"/>
          <w:numId w:val="2"/>
        </w:numPr>
        <w:spacing w:after="60" w:before="60"/>
      </w:pPr>
      <w:r>
        <w:rPr>
          <w:rFonts w:ascii="Arial" w:cs="Arial" w:eastAsia="Arial" w:hAnsi="Arial"/>
          <w:b w:val="false"/>
          <w:bCs w:val="false"/>
          <w:color w:val="1E1B4B"/>
          <w:sz w:val="22"/>
          <w:szCs w:val="22"/>
        </w:rPr>
        <w:t xml:space="preserve">Person 3 (AI/ML) — LLM letter generation, risk scoring model, jurisdiction detection, anonymization</w:t>
      </w:r>
    </w:p>
    <w:p>
      <w:pPr>
        <w:pStyle w:val="ListParagraph"/>
        <w:numPr>
          <w:ilvl w:val="0"/>
          <w:numId w:val="2"/>
        </w:numPr>
        <w:spacing w:after="60" w:before="60"/>
      </w:pPr>
      <w:r>
        <w:rPr>
          <w:rFonts w:ascii="Arial" w:cs="Arial" w:eastAsia="Arial" w:hAnsi="Arial"/>
          <w:b w:val="false"/>
          <w:bCs w:val="false"/>
          <w:color w:val="1E1B4B"/>
          <w:sz w:val="22"/>
          <w:szCs w:val="22"/>
        </w:rPr>
        <w:t xml:space="preserve">Person 4 (Data/Scraping) — Broker database setup, Playwright scrapers, HaveIBeenPwned integration</w:t>
      </w:r>
    </w:p>
    <w:p>
      <w:pPr>
        <w:pBdr>
          <w:bottom w:val="single" w:color="E5E7EB" w:sz="6" w:space="1"/>
        </w:pBdr>
        <w:spacing w:after="200" w:before="200"/>
      </w:pPr>
      <w:r>
        <w:t xml:space="preserve"/>
      </w:r>
    </w:p>
    <w:p>
      <w:pPr>
        <w:pStyle w:val="Heading1"/>
        <w:spacing w:after="160" w:before="480"/>
      </w:pPr>
      <w:r>
        <w:rPr>
          <w:rFonts w:ascii="Arial" w:cs="Arial" w:eastAsia="Arial" w:hAnsi="Arial"/>
          <w:b/>
          <w:bCs/>
          <w:color w:val="2D1B69"/>
          <w:sz w:val="40"/>
          <w:szCs w:val="40"/>
        </w:rPr>
        <w:t xml:space="preserve">10. The Winning Pitch Structure</w:t>
      </w:r>
    </w:p>
    <w:p>
      <w:pPr>
        <w:spacing w:after="0" w:before="80"/>
      </w:pPr>
      <w:r>
        <w:t xml:space="preserve"/>
      </w:r>
    </w:p>
    <w:p>
      <w:pPr>
        <w:pStyle w:val="Heading2"/>
        <w:pBdr>
          <w:bottom w:val="single" w:color="EC4899" w:sz="4" w:space="4"/>
        </w:pBdr>
        <w:spacing w:after="120" w:before="360"/>
      </w:pPr>
      <w:r>
        <w:rPr>
          <w:rFonts w:ascii="Arial" w:cs="Arial" w:eastAsia="Arial" w:hAnsi="Arial"/>
          <w:b/>
          <w:bCs/>
          <w:color w:val="EC4899"/>
          <w:sz w:val="30"/>
          <w:szCs w:val="30"/>
        </w:rPr>
        <w:t xml:space="preserve">Opening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C4899" w:sz="8"/>
              <w:left w:val="single" w:color="EC4899" w:sz="8"/>
              <w:bottom w:val="single" w:color="EC4899" w:sz="8"/>
              <w:right w:val="single" w:color="EC4899" w:sz="8"/>
            </w:tcBorders>
            <w:shd w:fill="FDF2F8" w:val="clear"/>
            <w:tcMar>
              <w:top w:type="dxa" w:w="160"/>
              <w:left w:type="dxa" w:w="200"/>
              <w:bottom w:type="dxa" w:w="160"/>
              <w:right w:type="dxa" w:w="200"/>
            </w:tcMar>
          </w:tcPr>
          <w:p>
            <w:pPr>
              <w:spacing w:after="60" w:before="0"/>
            </w:pPr>
            <w:r>
              <w:rPr>
                <w:rFonts w:ascii="Arial" w:cs="Arial" w:eastAsia="Arial" w:hAnsi="Arial"/>
                <w:b/>
                <w:bCs/>
                <w:color w:val="EC4899"/>
                <w:sz w:val="22"/>
                <w:szCs w:val="22"/>
              </w:rPr>
              <w:t xml:space="preserve">OPEN WITH THIS</w:t>
            </w:r>
          </w:p>
          <w:p>
            <w:pPr>
              <w:spacing w:after="0" w:before="40"/>
            </w:pPr>
            <w:r>
              <w:rPr>
                <w:rFonts w:ascii="Arial" w:cs="Arial" w:eastAsia="Arial" w:hAnsi="Arial"/>
                <w:color w:val="1E1B4B"/>
                <w:sz w:val="21"/>
                <w:szCs w:val="21"/>
              </w:rPr>
              <w:t xml:space="preserve">"Before I explain what we built, I want to show you something. Can I borrow your name for 10 seconds?" [Type judge's name into DataVault. Their home address, phone number, and family members appear on screen.] "That data is currently for sale. We built the tool that fights back — and gives you the choice to use your data for good."</w:t>
            </w:r>
          </w:p>
        </w:tc>
      </w:tr>
    </w:tbl>
    <w:p>
      <w:pPr>
        <w:spacing w:after="0" w:before="160"/>
      </w:pPr>
      <w:r>
        <w:t xml:space="preserve"/>
      </w:r>
    </w:p>
    <w:p>
      <w:pPr>
        <w:pStyle w:val="Heading2"/>
        <w:pBdr>
          <w:bottom w:val="single" w:color="6B21A8" w:sz="4" w:space="4"/>
        </w:pBdr>
        <w:spacing w:after="120" w:before="360"/>
      </w:pPr>
      <w:r>
        <w:rPr>
          <w:rFonts w:ascii="Arial" w:cs="Arial" w:eastAsia="Arial" w:hAnsi="Arial"/>
          <w:b/>
          <w:bCs/>
          <w:color w:val="6B21A8"/>
          <w:sz w:val="30"/>
          <w:szCs w:val="30"/>
        </w:rPr>
        <w:t xml:space="preserve">Problem (1 minute)</w:t>
      </w:r>
    </w:p>
    <w:p>
      <w:pPr>
        <w:pStyle w:val="ListParagraph"/>
        <w:numPr>
          <w:ilvl w:val="0"/>
          <w:numId w:val="2"/>
        </w:numPr>
        <w:spacing w:after="60" w:before="60"/>
      </w:pPr>
      <w:r>
        <w:rPr>
          <w:rFonts w:ascii="Arial" w:cs="Arial" w:eastAsia="Arial" w:hAnsi="Arial"/>
          <w:b w:val="false"/>
          <w:bCs w:val="false"/>
          <w:color w:val="1E1B4B"/>
          <w:sz w:val="22"/>
          <w:szCs w:val="22"/>
        </w:rPr>
        <w:t xml:space="preserve">4,000 data brokers. $300 billion industry. Your data sold hundreds of times per year.</w:t>
      </w:r>
    </w:p>
    <w:p>
      <w:pPr>
        <w:pStyle w:val="ListParagraph"/>
        <w:numPr>
          <w:ilvl w:val="0"/>
          <w:numId w:val="2"/>
        </w:numPr>
        <w:spacing w:after="60" w:before="60"/>
      </w:pPr>
      <w:r>
        <w:rPr>
          <w:rFonts w:ascii="Arial" w:cs="Arial" w:eastAsia="Arial" w:hAnsi="Arial"/>
          <w:b w:val="false"/>
          <w:bCs w:val="false"/>
          <w:color w:val="1E1B4B"/>
          <w:sz w:val="22"/>
          <w:szCs w:val="22"/>
        </w:rPr>
        <w:t xml:space="preserve">You never consented. You cannot easily opt out. And it causes real harm — stalking, discrimination, scams.</w:t>
      </w:r>
    </w:p>
    <w:p>
      <w:pPr>
        <w:pStyle w:val="ListParagraph"/>
        <w:numPr>
          <w:ilvl w:val="0"/>
          <w:numId w:val="2"/>
        </w:numPr>
        <w:spacing w:after="60" w:before="60"/>
      </w:pPr>
      <w:r>
        <w:rPr>
          <w:rFonts w:ascii="Arial" w:cs="Arial" w:eastAsia="Arial" w:hAnsi="Arial"/>
          <w:b w:val="false"/>
          <w:bCs w:val="false"/>
          <w:color w:val="1E1B4B"/>
          <w:sz w:val="22"/>
          <w:szCs w:val="22"/>
        </w:rPr>
        <w:t xml:space="preserve">But the bigger tension: society also needs data to function. Public safety, health research, city planning all depend on behavioral data. How do you protect privacy without breaking the systems that keep people safe?</w:t>
      </w:r>
    </w:p>
    <w:p>
      <w:pPr>
        <w:spacing w:after="0" w:before="160"/>
      </w:pPr>
      <w:r>
        <w:t xml:space="preserve"/>
      </w:r>
    </w:p>
    <w:p>
      <w:pPr>
        <w:pStyle w:val="Heading2"/>
        <w:pBdr>
          <w:bottom w:val="single" w:color="6B21A8" w:sz="4" w:space="4"/>
        </w:pBdr>
        <w:spacing w:after="120" w:before="360"/>
      </w:pPr>
      <w:r>
        <w:rPr>
          <w:rFonts w:ascii="Arial" w:cs="Arial" w:eastAsia="Arial" w:hAnsi="Arial"/>
          <w:b/>
          <w:bCs/>
          <w:color w:val="6B21A8"/>
          <w:sz w:val="30"/>
          <w:szCs w:val="30"/>
        </w:rPr>
        <w:t xml:space="preserve">Solution (2 minutes)</w:t>
      </w:r>
    </w:p>
    <w:p>
      <w:pPr>
        <w:pStyle w:val="ListParagraph"/>
        <w:numPr>
          <w:ilvl w:val="0"/>
          <w:numId w:val="2"/>
        </w:numPr>
        <w:spacing w:after="60" w:before="60"/>
      </w:pPr>
      <w:r>
        <w:rPr>
          <w:rFonts w:ascii="Arial" w:cs="Arial" w:eastAsia="Arial" w:hAnsi="Arial"/>
          <w:b w:val="false"/>
          <w:bCs w:val="false"/>
          <w:color w:val="1E1B4B"/>
          <w:sz w:val="22"/>
          <w:szCs w:val="22"/>
        </w:rPr>
        <w:t xml:space="preserve">DataVault: AI agent that finds your data across 4,000 brokers, generates legal opt-out letters, files them automatically, monitors for re-listing, and keeps fighting indefinitely.</w:t>
      </w:r>
    </w:p>
    <w:p>
      <w:pPr>
        <w:pStyle w:val="ListParagraph"/>
        <w:numPr>
          <w:ilvl w:val="0"/>
          <w:numId w:val="2"/>
        </w:numPr>
        <w:spacing w:after="60" w:before="60"/>
      </w:pPr>
      <w:r>
        <w:rPr>
          <w:rFonts w:ascii="Arial" w:cs="Arial" w:eastAsia="Arial" w:hAnsi="Arial"/>
          <w:b w:val="false"/>
          <w:bCs w:val="false"/>
          <w:color w:val="1E1B4B"/>
          <w:sz w:val="22"/>
          <w:szCs w:val="22"/>
        </w:rPr>
        <w:t xml:space="preserve">SafeShare: A voluntary consent layer where users can contribute anonymized data to public safety — on their own terms, with full auditability. Privacy protected. Public safety enabled. The fine line, answered.</w:t>
      </w:r>
    </w:p>
    <w:p>
      <w:pPr>
        <w:spacing w:after="0" w:before="160"/>
      </w:pPr>
      <w:r>
        <w:t xml:space="preserve"/>
      </w:r>
    </w:p>
    <w:p>
      <w:pPr>
        <w:pStyle w:val="Heading2"/>
        <w:pBdr>
          <w:bottom w:val="single" w:color="6B21A8" w:sz="4" w:space="4"/>
        </w:pBdr>
        <w:spacing w:after="120" w:before="360"/>
      </w:pPr>
      <w:r>
        <w:rPr>
          <w:rFonts w:ascii="Arial" w:cs="Arial" w:eastAsia="Arial" w:hAnsi="Arial"/>
          <w:b/>
          <w:bCs/>
          <w:color w:val="6B21A8"/>
          <w:sz w:val="30"/>
          <w:szCs w:val="30"/>
        </w:rPr>
        <w:t xml:space="preserve">Live Demo (2 minutes)</w:t>
      </w:r>
    </w:p>
    <w:p>
      <w:pPr>
        <w:pStyle w:val="ListParagraph"/>
        <w:numPr>
          <w:ilvl w:val="0"/>
          <w:numId w:val="2"/>
        </w:numPr>
        <w:spacing w:after="60" w:before="60"/>
      </w:pPr>
      <w:r>
        <w:rPr>
          <w:rFonts w:ascii="Arial" w:cs="Arial" w:eastAsia="Arial" w:hAnsi="Arial"/>
          <w:b w:val="false"/>
          <w:bCs w:val="false"/>
          <w:color w:val="1E1B4B"/>
          <w:sz w:val="22"/>
          <w:szCs w:val="22"/>
        </w:rPr>
        <w:t xml:space="preserve">Step 1: Enter name/email → Exposure Report appears with Risk Score 87/100</w:t>
      </w:r>
    </w:p>
    <w:p>
      <w:pPr>
        <w:pStyle w:val="ListParagraph"/>
        <w:numPr>
          <w:ilvl w:val="0"/>
          <w:numId w:val="2"/>
        </w:numPr>
        <w:spacing w:after="60" w:before="60"/>
      </w:pPr>
      <w:r>
        <w:rPr>
          <w:rFonts w:ascii="Arial" w:cs="Arial" w:eastAsia="Arial" w:hAnsi="Arial"/>
          <w:b w:val="false"/>
          <w:bCs w:val="false"/>
          <w:color w:val="1E1B4B"/>
          <w:sz w:val="22"/>
          <w:szCs w:val="22"/>
        </w:rPr>
        <w:t xml:space="preserve">Step 2: Click "Start Protection" → Letters generated for top 20 brokers in real time</w:t>
      </w:r>
    </w:p>
    <w:p>
      <w:pPr>
        <w:pStyle w:val="ListParagraph"/>
        <w:numPr>
          <w:ilvl w:val="0"/>
          <w:numId w:val="2"/>
        </w:numPr>
        <w:spacing w:after="60" w:before="60"/>
      </w:pPr>
      <w:r>
        <w:rPr>
          <w:rFonts w:ascii="Arial" w:cs="Arial" w:eastAsia="Arial" w:hAnsi="Arial"/>
          <w:b w:val="false"/>
          <w:bCs w:val="false"/>
          <w:color w:val="1E1B4B"/>
          <w:sz w:val="22"/>
          <w:szCs w:val="22"/>
        </w:rPr>
        <w:t xml:space="preserve">Step 3: Show Compliance Tracker — deadlines, statuses, non-compliance flags</w:t>
      </w:r>
    </w:p>
    <w:p>
      <w:pPr>
        <w:pStyle w:val="ListParagraph"/>
        <w:numPr>
          <w:ilvl w:val="0"/>
          <w:numId w:val="2"/>
        </w:numPr>
        <w:spacing w:after="60" w:before="60"/>
      </w:pPr>
      <w:r>
        <w:rPr>
          <w:rFonts w:ascii="Arial" w:cs="Arial" w:eastAsia="Arial" w:hAnsi="Arial"/>
          <w:b w:val="false"/>
          <w:bCs w:val="false"/>
          <w:color w:val="1E1B4B"/>
          <w:sz w:val="22"/>
          <w:szCs w:val="22"/>
        </w:rPr>
        <w:t xml:space="preserve">Step 4: Toggle SafeShare → Show anonymized data preview and agency access log</w:t>
      </w:r>
    </w:p>
    <w:p>
      <w:pPr>
        <w:pStyle w:val="ListParagraph"/>
        <w:numPr>
          <w:ilvl w:val="0"/>
          <w:numId w:val="2"/>
        </w:numPr>
        <w:spacing w:after="60" w:before="60"/>
      </w:pPr>
      <w:r>
        <w:rPr>
          <w:rFonts w:ascii="Arial" w:cs="Arial" w:eastAsia="Arial" w:hAnsi="Arial"/>
          <w:b w:val="false"/>
          <w:bCs w:val="false"/>
          <w:color w:val="1E1B4B"/>
          <w:sz w:val="22"/>
          <w:szCs w:val="22"/>
        </w:rPr>
        <w:t xml:space="preserve">Step 5: Show projected Risk Score at 30 days — dropping to 24/100</w:t>
      </w:r>
    </w:p>
    <w:p>
      <w:pPr>
        <w:spacing w:after="0" w:before="160"/>
      </w:pPr>
      <w:r>
        <w:t xml:space="preserve"/>
      </w:r>
    </w:p>
    <w:p>
      <w:pPr>
        <w:pStyle w:val="Heading2"/>
        <w:pBdr>
          <w:bottom w:val="single" w:color="EC4899" w:sz="4" w:space="4"/>
        </w:pBdr>
        <w:spacing w:after="120" w:before="360"/>
      </w:pPr>
      <w:r>
        <w:rPr>
          <w:rFonts w:ascii="Arial" w:cs="Arial" w:eastAsia="Arial" w:hAnsi="Arial"/>
          <w:b/>
          <w:bCs/>
          <w:color w:val="EC4899"/>
          <w:sz w:val="30"/>
          <w:szCs w:val="30"/>
        </w:rPr>
        <w:t xml:space="preserve">Closing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C4899" w:sz="8"/>
              <w:left w:val="single" w:color="EC4899" w:sz="8"/>
              <w:bottom w:val="single" w:color="EC4899" w:sz="8"/>
              <w:right w:val="single" w:color="EC4899" w:sz="8"/>
            </w:tcBorders>
            <w:shd w:fill="FDF2F8" w:val="clear"/>
            <w:tcMar>
              <w:top w:type="dxa" w:w="160"/>
              <w:left w:type="dxa" w:w="200"/>
              <w:bottom w:type="dxa" w:w="160"/>
              <w:right w:type="dxa" w:w="200"/>
            </w:tcMar>
          </w:tcPr>
          <w:p>
            <w:pPr>
              <w:spacing w:after="60" w:before="0"/>
            </w:pPr>
            <w:r>
              <w:rPr>
                <w:rFonts w:ascii="Arial" w:cs="Arial" w:eastAsia="Arial" w:hAnsi="Arial"/>
                <w:b/>
                <w:bCs/>
                <w:color w:val="EC4899"/>
                <w:sz w:val="22"/>
                <w:szCs w:val="22"/>
              </w:rPr>
              <w:t xml:space="preserve">CLOSE WITH THIS</w:t>
            </w:r>
          </w:p>
          <w:p>
            <w:pPr>
              <w:spacing w:after="0" w:before="40"/>
            </w:pPr>
            <w:r>
              <w:rPr>
                <w:rFonts w:ascii="Arial" w:cs="Arial" w:eastAsia="Arial" w:hAnsi="Arial"/>
                <w:color w:val="1E1B4B"/>
                <w:sz w:val="21"/>
                <w:szCs w:val="21"/>
              </w:rPr>
              <w:t xml:space="preserve">"DataVault does not pick a side in the surveillance debate. It gives every citizen the power to decide for themselves where the line is. That is not a compromise — that is the future of digital rights."</w:t>
            </w:r>
          </w:p>
        </w:tc>
      </w:tr>
    </w:tbl>
    <w:p>
      <w:pPr>
        <w:pBdr>
          <w:bottom w:val="single" w:color="E5E7EB" w:sz="6" w:space="1"/>
        </w:pBdr>
        <w:spacing w:after="200" w:before="200"/>
      </w:pPr>
      <w:r>
        <w:t xml:space="preserve"/>
      </w:r>
    </w:p>
    <w:p>
      <w:pPr>
        <w:spacing w:after="0" w:before="200"/>
      </w:pPr>
      <w:r>
        <w:t xml:space="preserve"/>
      </w:r>
    </w:p>
    <w:p>
      <w:pPr>
        <w:spacing w:after="80" w:before="0"/>
        <w:jc w:val="center"/>
      </w:pPr>
      <w:r>
        <w:rPr>
          <w:rFonts w:ascii="Arial" w:cs="Arial" w:eastAsia="Arial" w:hAnsi="Arial"/>
          <w:b/>
          <w:bCs/>
          <w:color w:val="2D1B69"/>
          <w:sz w:val="32"/>
          <w:szCs w:val="32"/>
        </w:rPr>
        <w:t xml:space="preserve">Build this. Demo it fearlessly. Win.</w:t>
      </w:r>
    </w:p>
    <w:p>
      <w:pPr>
        <w:spacing w:after="0" w:before="0"/>
        <w:jc w:val="center"/>
      </w:pPr>
      <w:r>
        <w:rPr>
          <w:rFonts w:ascii="Arial" w:cs="Arial" w:eastAsia="Arial" w:hAnsi="Arial"/>
          <w:color w:val="6B7280"/>
          <w:sz w:val="22"/>
          <w:szCs w:val="22"/>
        </w:rPr>
        <w:t xml:space="preserve">DataVault + SafeShare — Mass Surveillance vs Public Safety Hackathon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D1B69"/>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6B21A8"/>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E1B4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2026-05-29T07:04:51.665Z</dcterms:created>
  <dcterms:modified xsi:type="dcterms:W3CDTF">2026-05-29T07:04:51.665Z</dcterms:modified>
</cp:coreProperties>
</file>

<file path=docProps/custom.xml><?xml version="1.0" encoding="utf-8"?>
<Properties xmlns="http://schemas.openxmlformats.org/officeDocument/2006/custom-properties" xmlns:vt="http://schemas.openxmlformats.org/officeDocument/2006/docPropsVTypes"/>
</file>