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color w:val="1E2761"/>
          <w:sz w:val="72"/>
        </w:rPr>
        <w:t>QueryBot v2</w:t>
      </w:r>
    </w:p>
    <w:p>
      <w:pPr>
        <w:spacing w:after="80"/>
        <w:jc w:val="center"/>
      </w:pPr>
      <w:r>
        <w:rPr>
          <w:rFonts w:ascii="Calibri" w:hAnsi="Calibri"/>
          <w:b/>
          <w:color w:val="028090"/>
          <w:sz w:val="48"/>
        </w:rPr>
        <w:t>Requirements Specification</w:t>
      </w:r>
    </w:p>
    <w:p>
      <w:pPr>
        <w:spacing w:after="1200"/>
        <w:jc w:val="center"/>
      </w:pPr>
      <w:r>
        <w:rPr>
          <w:rFonts w:ascii="Calibri" w:hAnsi="Calibri"/>
          <w:i/>
          <w:color w:val="444444"/>
          <w:sz w:val="26"/>
        </w:rPr>
        <w:t>Change Set · Azure AI Configuration &amp; Semantic Layer Enhancements</w:t>
      </w:r>
    </w:p>
    <w:tbl>
      <w:tblPr>
        <w:tblStyle w:val="TableGrid"/>
        <w:tblW w:type="auto" w:w="0"/>
        <w:tblLook w:firstColumn="1" w:firstRow="1" w:lastColumn="0" w:lastRow="0" w:noHBand="0" w:noVBand="1" w:val="04A0"/>
      </w:tblPr>
      <w:tblGrid>
        <w:gridCol w:w="4392"/>
        <w:gridCol w:w="4392"/>
      </w:tblGrid>
      <w:tr>
        <w:tc>
          <w:tcPr>
            <w:tcW w:type="dxa" w:w="2592"/>
            <w:shd w:val="clear" w:color="auto" w:fill="E8EDF5"/>
          </w:tcPr>
          <w:p>
            <w:r>
              <w:rPr>
                <w:rFonts w:ascii="Calibri" w:hAnsi="Calibri"/>
                <w:b/>
                <w:color w:val="1E2761"/>
                <w:sz w:val="20"/>
              </w:rPr>
              <w:t>Document Version</w:t>
            </w:r>
          </w:p>
        </w:tc>
        <w:tc>
          <w:tcPr>
            <w:tcW w:type="dxa" w:w="6768"/>
          </w:tcPr>
          <w:p>
            <w:r>
              <w:rPr>
                <w:rFonts w:ascii="Calibri" w:hAnsi="Calibri"/>
                <w:color w:val="444444"/>
                <w:sz w:val="20"/>
              </w:rPr>
              <w:t>1.0</w:t>
            </w:r>
          </w:p>
        </w:tc>
      </w:tr>
      <w:tr>
        <w:tc>
          <w:tcPr>
            <w:tcW w:type="dxa" w:w="2592"/>
            <w:shd w:val="clear" w:color="auto" w:fill="E8EDF5"/>
          </w:tcPr>
          <w:p>
            <w:r>
              <w:rPr>
                <w:rFonts w:ascii="Calibri" w:hAnsi="Calibri"/>
                <w:b/>
                <w:color w:val="1E2761"/>
                <w:sz w:val="20"/>
              </w:rPr>
              <w:t>Date</w:t>
            </w:r>
          </w:p>
        </w:tc>
        <w:tc>
          <w:tcPr>
            <w:tcW w:type="dxa" w:w="6768"/>
          </w:tcPr>
          <w:p>
            <w:r>
              <w:rPr>
                <w:rFonts w:ascii="Calibri" w:hAnsi="Calibri"/>
                <w:color w:val="444444"/>
                <w:sz w:val="20"/>
              </w:rPr>
              <w:t>19 June 2026</w:t>
            </w:r>
          </w:p>
        </w:tc>
      </w:tr>
      <w:tr>
        <w:tc>
          <w:tcPr>
            <w:tcW w:type="dxa" w:w="2592"/>
            <w:shd w:val="clear" w:color="auto" w:fill="E8EDF5"/>
          </w:tcPr>
          <w:p>
            <w:r>
              <w:rPr>
                <w:rFonts w:ascii="Calibri" w:hAnsi="Calibri"/>
                <w:b/>
                <w:color w:val="1E2761"/>
                <w:sz w:val="20"/>
              </w:rPr>
              <w:t>Prepared by</w:t>
            </w:r>
          </w:p>
        </w:tc>
        <w:tc>
          <w:tcPr>
            <w:tcW w:type="dxa" w:w="6768"/>
          </w:tcPr>
          <w:p>
            <w:r>
              <w:rPr>
                <w:rFonts w:ascii="Calibri" w:hAnsi="Calibri"/>
                <w:color w:val="444444"/>
                <w:sz w:val="20"/>
              </w:rPr>
              <w:t>GainInsights Solutions Pvt Ltd</w:t>
            </w:r>
          </w:p>
        </w:tc>
      </w:tr>
      <w:tr>
        <w:tc>
          <w:tcPr>
            <w:tcW w:type="dxa" w:w="2592"/>
            <w:shd w:val="clear" w:color="auto" w:fill="E8EDF5"/>
          </w:tcPr>
          <w:p>
            <w:r>
              <w:rPr>
                <w:rFonts w:ascii="Calibri" w:hAnsi="Calibri"/>
                <w:b/>
                <w:color w:val="1E2761"/>
                <w:sz w:val="20"/>
              </w:rPr>
              <w:t>Project</w:t>
            </w:r>
          </w:p>
        </w:tc>
        <w:tc>
          <w:tcPr>
            <w:tcW w:type="dxa" w:w="6768"/>
          </w:tcPr>
          <w:p>
            <w:r>
              <w:rPr>
                <w:rFonts w:ascii="Calibri" w:hAnsi="Calibri"/>
                <w:color w:val="444444"/>
                <w:sz w:val="20"/>
              </w:rPr>
              <w:t>QueryBot v2 — Intelligent SQL Query Assistant</w:t>
            </w:r>
          </w:p>
        </w:tc>
      </w:tr>
      <w:tr>
        <w:tc>
          <w:tcPr>
            <w:tcW w:type="dxa" w:w="2592"/>
            <w:shd w:val="clear" w:color="auto" w:fill="E8EDF5"/>
          </w:tcPr>
          <w:p>
            <w:r>
              <w:rPr>
                <w:rFonts w:ascii="Calibri" w:hAnsi="Calibri"/>
                <w:b/>
                <w:color w:val="1E2761"/>
                <w:sz w:val="20"/>
              </w:rPr>
              <w:t>Branch</w:t>
            </w:r>
          </w:p>
        </w:tc>
        <w:tc>
          <w:tcPr>
            <w:tcW w:type="dxa" w:w="6768"/>
          </w:tcPr>
          <w:p>
            <w:r>
              <w:rPr>
                <w:rFonts w:ascii="Calibri" w:hAnsi="Calibri"/>
                <w:color w:val="444444"/>
                <w:sz w:val="20"/>
              </w:rPr>
              <w:t>main</w:t>
            </w:r>
          </w:p>
        </w:tc>
      </w:tr>
      <w:tr>
        <w:tc>
          <w:tcPr>
            <w:tcW w:type="dxa" w:w="2592"/>
            <w:shd w:val="clear" w:color="auto" w:fill="E8EDF5"/>
          </w:tcPr>
          <w:p>
            <w:r>
              <w:rPr>
                <w:rFonts w:ascii="Calibri" w:hAnsi="Calibri"/>
                <w:b/>
                <w:color w:val="1E2761"/>
                <w:sz w:val="20"/>
              </w:rPr>
              <w:t>Commits covered</w:t>
            </w:r>
          </w:p>
        </w:tc>
        <w:tc>
          <w:tcPr>
            <w:tcW w:type="dxa" w:w="6768"/>
          </w:tcPr>
          <w:p>
            <w:r>
              <w:rPr>
                <w:rFonts w:ascii="Calibri" w:hAnsi="Calibri"/>
                <w:color w:val="444444"/>
                <w:sz w:val="20"/>
              </w:rPr>
              <w:t>3835bdd · 298fbf8 · 08e83ec · 39f5d63 · 141ac98</w:t>
            </w:r>
          </w:p>
        </w:tc>
      </w:tr>
    </w:tbl>
    <w:p/>
    <w:p>
      <w:r>
        <w:br w:type="page"/>
      </w:r>
    </w:p>
    <w:p>
      <w:pPr>
        <w:spacing w:before="360" w:after="80"/>
        <w:pBdr>
          <w:bottom w:val="single" w:sz="6" w:space="1" w:color="1E2761"/>
        </w:pBdr>
      </w:pPr>
      <w:r>
        <w:rPr>
          <w:rFonts w:ascii="Calibri" w:hAnsi="Calibri"/>
          <w:b/>
          <w:color w:val="1E2761"/>
          <w:sz w:val="32"/>
        </w:rPr>
        <w:t>1. Executive Summary</w:t>
      </w:r>
    </w:p>
    <w:p>
      <w:pPr>
        <w:spacing w:before="40" w:after="80"/>
      </w:pPr>
      <w:r>
        <w:rPr>
          <w:rFonts w:ascii="Calibri" w:hAnsi="Calibri"/>
          <w:color w:val="444444"/>
          <w:sz w:val="22"/>
        </w:rPr>
        <w:t>This document records all functional requirements, implementation details, and current status for five change items delivered to QueryBot v2 during the June 2026 sprint. The changes span Azure OpenAI provider configuration, result-rendering accuracy, and a planned semantic-layer enhancement for question tagging.</w:t>
      </w:r>
    </w:p>
    <w:p>
      <w:pPr>
        <w:spacing w:before="40" w:after="80"/>
      </w:pPr>
      <w:r>
        <w:rPr>
          <w:rFonts w:ascii="Calibri" w:hAnsi="Calibri"/>
          <w:color w:val="444444"/>
          <w:sz w:val="22"/>
        </w:rPr>
        <w:t>The five change items are:</w:t>
      </w:r>
    </w:p>
    <w:tbl>
      <w:tblPr>
        <w:tblStyle w:val="TableGrid"/>
        <w:tblW w:type="auto" w:w="0"/>
        <w:tblLook w:firstColumn="1" w:firstRow="1" w:lastColumn="0" w:lastRow="0" w:noHBand="0" w:noVBand="1" w:val="04A0"/>
      </w:tblPr>
      <w:tblGrid>
        <w:gridCol w:w="2196"/>
        <w:gridCol w:w="2196"/>
        <w:gridCol w:w="2196"/>
        <w:gridCol w:w="2196"/>
      </w:tblGrid>
      <w:tr>
        <w:tc>
          <w:tcPr>
            <w:tcW w:type="dxa" w:w="1296"/>
            <w:shd w:val="clear" w:color="auto" w:fill="1E2761"/>
          </w:tcPr>
          <w:p>
            <w:pPr>
              <w:jc w:val="center"/>
            </w:pPr>
            <w:r>
              <w:rPr>
                <w:rFonts w:ascii="Calibri" w:hAnsi="Calibri"/>
                <w:b/>
                <w:color w:val="FFFFFF"/>
                <w:sz w:val="20"/>
              </w:rPr>
              <w:t>ID</w:t>
            </w:r>
          </w:p>
        </w:tc>
        <w:tc>
          <w:tcPr>
            <w:tcW w:type="dxa" w:w="6048"/>
            <w:shd w:val="clear" w:color="auto" w:fill="1E2761"/>
          </w:tcPr>
          <w:p>
            <w:pPr>
              <w:jc w:val="center"/>
            </w:pPr>
            <w:r>
              <w:rPr>
                <w:rFonts w:ascii="Calibri" w:hAnsi="Calibri"/>
                <w:b/>
                <w:color w:val="FFFFFF"/>
                <w:sz w:val="20"/>
              </w:rPr>
              <w:t>Feature</w:t>
            </w:r>
          </w:p>
        </w:tc>
        <w:tc>
          <w:tcPr>
            <w:tcW w:type="dxa" w:w="1440"/>
            <w:shd w:val="clear" w:color="auto" w:fill="1E2761"/>
          </w:tcPr>
          <w:p>
            <w:pPr>
              <w:jc w:val="center"/>
            </w:pPr>
            <w:r>
              <w:rPr>
                <w:rFonts w:ascii="Calibri" w:hAnsi="Calibri"/>
                <w:b/>
                <w:color w:val="FFFFFF"/>
                <w:sz w:val="20"/>
              </w:rPr>
              <w:t>Status</w:t>
            </w:r>
          </w:p>
        </w:tc>
        <w:tc>
          <w:tcPr>
            <w:tcW w:type="dxa" w:w="1152"/>
            <w:shd w:val="clear" w:color="auto" w:fill="1E2761"/>
          </w:tcPr>
          <w:p>
            <w:pPr>
              <w:jc w:val="center"/>
            </w:pPr>
            <w:r>
              <w:rPr>
                <w:rFonts w:ascii="Calibri" w:hAnsi="Calibri"/>
                <w:b/>
                <w:color w:val="FFFFFF"/>
                <w:sz w:val="20"/>
              </w:rPr>
              <w:t>Section</w:t>
            </w:r>
          </w:p>
        </w:tc>
      </w:tr>
      <w:tr>
        <w:tc>
          <w:tcPr>
            <w:tcW w:type="dxa" w:w="1296"/>
          </w:tcPr>
          <w:p>
            <w:r>
              <w:rPr>
                <w:rFonts w:ascii="Calibri" w:hAnsi="Calibri"/>
                <w:b/>
                <w:color w:val="1E2761"/>
                <w:sz w:val="20"/>
              </w:rPr>
              <w:t>REQ-001</w:t>
            </w:r>
          </w:p>
        </w:tc>
        <w:tc>
          <w:tcPr>
            <w:tcW w:type="dxa" w:w="6048"/>
          </w:tcPr>
          <w:p>
            <w:r>
              <w:rPr>
                <w:rFonts w:ascii="Calibri" w:hAnsi="Calibri"/>
                <w:color w:val="444444"/>
                <w:sz w:val="20"/>
              </w:rPr>
              <w:t>Azure OpenAI Deployment Name — Free-Text Fields</w:t>
            </w:r>
          </w:p>
        </w:tc>
        <w:tc>
          <w:tcPr>
            <w:tcW w:type="dxa" w:w="1440"/>
          </w:tcPr>
          <w:p>
            <w:r>
              <w:rPr>
                <w:rFonts w:ascii="Calibri" w:hAnsi="Calibri"/>
                <w:b/>
                <w:color w:val="107C10"/>
                <w:sz w:val="20"/>
              </w:rPr>
              <w:t>Completed</w:t>
            </w:r>
          </w:p>
        </w:tc>
        <w:tc>
          <w:tcPr>
            <w:tcW w:type="dxa" w:w="1152"/>
          </w:tcPr>
          <w:p>
            <w:r>
              <w:rPr>
                <w:rFonts w:ascii="Calibri" w:hAnsi="Calibri"/>
                <w:color w:val="444444"/>
                <w:sz w:val="20"/>
              </w:rPr>
              <w:t>§ 2</w:t>
            </w:r>
          </w:p>
        </w:tc>
      </w:tr>
      <w:tr>
        <w:tc>
          <w:tcPr>
            <w:tcW w:type="dxa" w:w="1296"/>
            <w:shd w:val="clear" w:color="auto" w:fill="EEF2FB"/>
          </w:tcPr>
          <w:p>
            <w:r>
              <w:rPr>
                <w:rFonts w:ascii="Calibri" w:hAnsi="Calibri"/>
                <w:b/>
                <w:color w:val="1E2761"/>
                <w:sz w:val="20"/>
              </w:rPr>
              <w:t>REQ-002</w:t>
            </w:r>
          </w:p>
        </w:tc>
        <w:tc>
          <w:tcPr>
            <w:tcW w:type="dxa" w:w="6048"/>
            <w:shd w:val="clear" w:color="auto" w:fill="EEF2FB"/>
          </w:tcPr>
          <w:p>
            <w:r>
              <w:rPr>
                <w:rFonts w:ascii="Calibri" w:hAnsi="Calibri"/>
                <w:color w:val="444444"/>
                <w:sz w:val="20"/>
              </w:rPr>
              <w:t>Azure Deployment Auto-Fetch + Redesigned System UI</w:t>
            </w:r>
          </w:p>
        </w:tc>
        <w:tc>
          <w:tcPr>
            <w:tcW w:type="dxa" w:w="1440"/>
            <w:shd w:val="clear" w:color="auto" w:fill="EEF2FB"/>
          </w:tcPr>
          <w:p>
            <w:r>
              <w:rPr>
                <w:rFonts w:ascii="Calibri" w:hAnsi="Calibri"/>
                <w:b/>
                <w:color w:val="107C10"/>
                <w:sz w:val="20"/>
              </w:rPr>
              <w:t>Completed</w:t>
            </w:r>
          </w:p>
        </w:tc>
        <w:tc>
          <w:tcPr>
            <w:tcW w:type="dxa" w:w="1152"/>
            <w:shd w:val="clear" w:color="auto" w:fill="EEF2FB"/>
          </w:tcPr>
          <w:p>
            <w:r>
              <w:rPr>
                <w:rFonts w:ascii="Calibri" w:hAnsi="Calibri"/>
                <w:color w:val="444444"/>
                <w:sz w:val="20"/>
              </w:rPr>
              <w:t>§ 3</w:t>
            </w:r>
          </w:p>
        </w:tc>
      </w:tr>
      <w:tr>
        <w:tc>
          <w:tcPr>
            <w:tcW w:type="dxa" w:w="1296"/>
          </w:tcPr>
          <w:p>
            <w:r>
              <w:rPr>
                <w:rFonts w:ascii="Calibri" w:hAnsi="Calibri"/>
                <w:b/>
                <w:color w:val="1E2761"/>
                <w:sz w:val="20"/>
              </w:rPr>
              <w:t>REQ-003</w:t>
            </w:r>
          </w:p>
        </w:tc>
        <w:tc>
          <w:tcPr>
            <w:tcW w:type="dxa" w:w="6048"/>
          </w:tcPr>
          <w:p>
            <w:r>
              <w:rPr>
                <w:rFonts w:ascii="Calibri" w:hAnsi="Calibri"/>
                <w:color w:val="444444"/>
                <w:sz w:val="20"/>
              </w:rPr>
              <w:t>Auto-Format Currency / Percentage by Column Name</w:t>
            </w:r>
          </w:p>
        </w:tc>
        <w:tc>
          <w:tcPr>
            <w:tcW w:type="dxa" w:w="1440"/>
          </w:tcPr>
          <w:p>
            <w:r>
              <w:rPr>
                <w:rFonts w:ascii="Calibri" w:hAnsi="Calibri"/>
                <w:b/>
                <w:color w:val="107C10"/>
                <w:sz w:val="20"/>
              </w:rPr>
              <w:t>Completed</w:t>
            </w:r>
          </w:p>
        </w:tc>
        <w:tc>
          <w:tcPr>
            <w:tcW w:type="dxa" w:w="1152"/>
          </w:tcPr>
          <w:p>
            <w:r>
              <w:rPr>
                <w:rFonts w:ascii="Calibri" w:hAnsi="Calibri"/>
                <w:color w:val="444444"/>
                <w:sz w:val="20"/>
              </w:rPr>
              <w:t>§ 4</w:t>
            </w:r>
          </w:p>
        </w:tc>
      </w:tr>
      <w:tr>
        <w:tc>
          <w:tcPr>
            <w:tcW w:type="dxa" w:w="1296"/>
            <w:shd w:val="clear" w:color="auto" w:fill="EEF2FB"/>
          </w:tcPr>
          <w:p>
            <w:r>
              <w:rPr>
                <w:rFonts w:ascii="Calibri" w:hAnsi="Calibri"/>
                <w:b/>
                <w:color w:val="1E2761"/>
                <w:sz w:val="20"/>
              </w:rPr>
              <w:t>REQ-004</w:t>
            </w:r>
          </w:p>
        </w:tc>
        <w:tc>
          <w:tcPr>
            <w:tcW w:type="dxa" w:w="6048"/>
            <w:shd w:val="clear" w:color="auto" w:fill="EEF2FB"/>
          </w:tcPr>
          <w:p>
            <w:r>
              <w:rPr>
                <w:rFonts w:ascii="Calibri" w:hAnsi="Calibri"/>
                <w:color w:val="444444"/>
                <w:sz w:val="20"/>
              </w:rPr>
              <w:t>Fix: % Contribution Stuck Spinner &amp; Decimal Failure</w:t>
            </w:r>
          </w:p>
        </w:tc>
        <w:tc>
          <w:tcPr>
            <w:tcW w:type="dxa" w:w="1440"/>
            <w:shd w:val="clear" w:color="auto" w:fill="EEF2FB"/>
          </w:tcPr>
          <w:p>
            <w:r>
              <w:rPr>
                <w:rFonts w:ascii="Calibri" w:hAnsi="Calibri"/>
                <w:b/>
                <w:color w:val="107C10"/>
                <w:sz w:val="20"/>
              </w:rPr>
              <w:t>Completed</w:t>
            </w:r>
          </w:p>
        </w:tc>
        <w:tc>
          <w:tcPr>
            <w:tcW w:type="dxa" w:w="1152"/>
            <w:shd w:val="clear" w:color="auto" w:fill="EEF2FB"/>
          </w:tcPr>
          <w:p>
            <w:r>
              <w:rPr>
                <w:rFonts w:ascii="Calibri" w:hAnsi="Calibri"/>
                <w:color w:val="444444"/>
                <w:sz w:val="20"/>
              </w:rPr>
              <w:t>§ 5</w:t>
            </w:r>
          </w:p>
        </w:tc>
      </w:tr>
      <w:tr>
        <w:tc>
          <w:tcPr>
            <w:tcW w:type="dxa" w:w="1296"/>
          </w:tcPr>
          <w:p>
            <w:r>
              <w:rPr>
                <w:rFonts w:ascii="Calibri" w:hAnsi="Calibri"/>
                <w:b/>
                <w:color w:val="1E2761"/>
                <w:sz w:val="20"/>
              </w:rPr>
              <w:t>REQ-005</w:t>
            </w:r>
          </w:p>
        </w:tc>
        <w:tc>
          <w:tcPr>
            <w:tcW w:type="dxa" w:w="6048"/>
          </w:tcPr>
          <w:p>
            <w:r>
              <w:rPr>
                <w:rFonts w:ascii="Calibri" w:hAnsi="Calibri"/>
                <w:color w:val="444444"/>
                <w:sz w:val="20"/>
              </w:rPr>
              <w:t>Question Tags — Semantic Layer Enhancement</w:t>
            </w:r>
          </w:p>
        </w:tc>
        <w:tc>
          <w:tcPr>
            <w:tcW w:type="dxa" w:w="1440"/>
          </w:tcPr>
          <w:p>
            <w:r>
              <w:rPr>
                <w:rFonts w:ascii="Calibri" w:hAnsi="Calibri"/>
                <w:b/>
                <w:color w:val="C55A11"/>
                <w:sz w:val="20"/>
              </w:rPr>
              <w:t>Planned</w:t>
            </w:r>
          </w:p>
        </w:tc>
        <w:tc>
          <w:tcPr>
            <w:tcW w:type="dxa" w:w="1152"/>
          </w:tcPr>
          <w:p>
            <w:r>
              <w:rPr>
                <w:rFonts w:ascii="Calibri" w:hAnsi="Calibri"/>
                <w:color w:val="444444"/>
                <w:sz w:val="20"/>
              </w:rPr>
              <w:t>§ 6</w:t>
            </w:r>
          </w:p>
        </w:tc>
      </w:tr>
    </w:tbl>
    <w:p/>
    <w:p>
      <w:r>
        <w:br w:type="page"/>
      </w:r>
    </w:p>
    <w:p>
      <w:pPr>
        <w:spacing w:before="360" w:after="80"/>
        <w:pBdr>
          <w:bottom w:val="single" w:sz="6" w:space="1" w:color="1E2761"/>
        </w:pBdr>
      </w:pPr>
      <w:r>
        <w:rPr>
          <w:rFonts w:ascii="Calibri" w:hAnsi="Calibri"/>
          <w:b/>
          <w:color w:val="1E2761"/>
          <w:sz w:val="32"/>
        </w:rPr>
        <w:t>2. REQ-001 — Azure OpenAI Deployment Name (Free-Text Fields)</w:t>
      </w:r>
    </w:p>
    <w:tbl>
      <w:tblPr>
        <w:tblStyle w:val="TableGrid"/>
        <w:tblW w:type="auto" w:w="0"/>
        <w:tblLook w:firstColumn="1" w:firstRow="1" w:lastColumn="0" w:lastRow="0" w:noHBand="0" w:noVBand="1" w:val="04A0"/>
      </w:tblPr>
      <w:tblGrid>
        <w:gridCol w:w="8784"/>
      </w:tblGrid>
      <w:tr>
        <w:tc>
          <w:tcPr>
            <w:tcW w:type="dxa" w:w="2592"/>
            <w:shd w:val="clear" w:color="auto" w:fill="107C10"/>
          </w:tcPr>
          <w:p>
            <w:pPr>
              <w:jc w:val="center"/>
            </w:pPr>
            <w:r>
              <w:rPr>
                <w:rFonts w:ascii="Calibri" w:hAnsi="Calibri"/>
                <w:b/>
                <w:color w:val="FFFFFF"/>
                <w:sz w:val="20"/>
              </w:rPr>
              <w:t xml:space="preserve">  COMPLETED  </w:t>
            </w:r>
          </w:p>
        </w:tc>
      </w:tr>
    </w:tbl>
    <w:p/>
    <w:p>
      <w:pPr>
        <w:spacing w:before="240" w:after="40"/>
      </w:pPr>
      <w:r>
        <w:rPr>
          <w:rFonts w:ascii="Calibri" w:hAnsi="Calibri"/>
          <w:b/>
          <w:color w:val="028090"/>
          <w:sz w:val="24"/>
        </w:rPr>
        <w:t>2.1 Background</w:t>
      </w:r>
    </w:p>
    <w:p>
      <w:pPr>
        <w:spacing w:before="40" w:after="80"/>
      </w:pPr>
      <w:r>
        <w:rPr>
          <w:rFonts w:ascii="Calibri" w:hAnsi="Calibri"/>
          <w:color w:val="444444"/>
          <w:sz w:val="22"/>
        </w:rPr>
        <w:t>QueryBot v2 supports Azure OpenAI as an LLM provider. Prior to this change, the deployment name sent to Azure was hard-coded to the value stored in the generic default_llm_model field (e.g. 'gpt-4o'). Azure requires the deployment name to match exactly what was configured inside the Azure OpenAI resource — this often differs from the model name. Organisations that named their deployments differently (e.g. 'qbot-poc-openai') received 'DeploymentNotFound' errors during query execution and KB generation.</w:t>
      </w:r>
    </w:p>
    <w:p>
      <w:pPr>
        <w:spacing w:before="240" w:after="40"/>
      </w:pPr>
      <w:r>
        <w:rPr>
          <w:rFonts w:ascii="Calibri" w:hAnsi="Calibri"/>
          <w:b/>
          <w:color w:val="028090"/>
          <w:sz w:val="24"/>
        </w:rPr>
        <w:t>2.2 Requirements</w:t>
      </w:r>
    </w:p>
    <w:p>
      <w:pPr>
        <w:pStyle w:val="ListBullet"/>
        <w:spacing w:before="20" w:after="20"/>
      </w:pPr>
      <w:r>
        <w:rPr>
          <w:rFonts w:ascii="Calibri" w:hAnsi="Calibri"/>
          <w:b/>
          <w:color w:val="444444"/>
          <w:sz w:val="22"/>
        </w:rPr>
        <w:t xml:space="preserve">R-001-1  </w:t>
      </w:r>
      <w:r>
        <w:rPr>
          <w:rFonts w:ascii="Calibri" w:hAnsi="Calibri"/>
          <w:color w:val="444444"/>
          <w:sz w:val="22"/>
        </w:rPr>
        <w:t>Admin must be able to enter a custom deployment name for query LLM calls.</w:t>
      </w:r>
    </w:p>
    <w:p>
      <w:pPr>
        <w:pStyle w:val="ListBullet"/>
        <w:spacing w:before="20" w:after="20"/>
      </w:pPr>
      <w:r>
        <w:rPr>
          <w:rFonts w:ascii="Calibri" w:hAnsi="Calibri"/>
          <w:b/>
          <w:color w:val="444444"/>
          <w:sz w:val="22"/>
        </w:rPr>
        <w:t xml:space="preserve">R-001-2  </w:t>
      </w:r>
      <w:r>
        <w:rPr>
          <w:rFonts w:ascii="Calibri" w:hAnsi="Calibri"/>
          <w:color w:val="444444"/>
          <w:sz w:val="22"/>
        </w:rPr>
        <w:t>Admin must be able to enter a separate custom deployment name for KB generation LLM calls.</w:t>
      </w:r>
    </w:p>
    <w:p>
      <w:pPr>
        <w:pStyle w:val="ListBullet"/>
        <w:spacing w:before="20" w:after="20"/>
      </w:pPr>
      <w:r>
        <w:rPr>
          <w:rFonts w:ascii="Calibri" w:hAnsi="Calibri"/>
          <w:b/>
          <w:color w:val="444444"/>
          <w:sz w:val="22"/>
        </w:rPr>
        <w:t xml:space="preserve">R-001-3  </w:t>
      </w:r>
      <w:r>
        <w:rPr>
          <w:rFonts w:ascii="Calibri" w:hAnsi="Calibri"/>
          <w:color w:val="444444"/>
          <w:sz w:val="22"/>
        </w:rPr>
        <w:t>Both names must persist across server restarts and be stored in the system configuration store.</w:t>
      </w:r>
    </w:p>
    <w:p>
      <w:pPr>
        <w:pStyle w:val="ListBullet"/>
        <w:spacing w:before="20" w:after="20"/>
      </w:pPr>
      <w:r>
        <w:rPr>
          <w:rFonts w:ascii="Calibri" w:hAnsi="Calibri"/>
          <w:b/>
          <w:color w:val="444444"/>
          <w:sz w:val="22"/>
        </w:rPr>
        <w:t xml:space="preserve">R-001-4  </w:t>
      </w:r>
      <w:r>
        <w:rPr>
          <w:rFonts w:ascii="Calibri" w:hAnsi="Calibri"/>
          <w:color w:val="444444"/>
          <w:sz w:val="22"/>
        </w:rPr>
        <w:t>When a deployment name is saved, the LLM router must prefer it over the generic model dropdown value.</w:t>
      </w:r>
    </w:p>
    <w:p>
      <w:pPr>
        <w:pStyle w:val="ListBullet"/>
        <w:spacing w:before="20" w:after="20"/>
      </w:pPr>
      <w:r>
        <w:rPr>
          <w:rFonts w:ascii="Calibri" w:hAnsi="Calibri"/>
          <w:b/>
          <w:color w:val="444444"/>
          <w:sz w:val="22"/>
        </w:rPr>
        <w:t xml:space="preserve">R-001-5  </w:t>
      </w:r>
      <w:r>
        <w:rPr>
          <w:rFonts w:ascii="Calibri" w:hAnsi="Calibri"/>
          <w:color w:val="444444"/>
          <w:sz w:val="22"/>
        </w:rPr>
        <w:t>Empty deployment name fields must not overwrite a previously saved valid name.</w:t>
      </w:r>
    </w:p>
    <w:p>
      <w:pPr>
        <w:spacing w:before="240" w:after="40"/>
      </w:pPr>
      <w:r>
        <w:rPr>
          <w:rFonts w:ascii="Calibri" w:hAnsi="Calibri"/>
          <w:b/>
          <w:color w:val="028090"/>
          <w:sz w:val="24"/>
        </w:rPr>
        <w:t>2.3 Implementation Details</w:t>
      </w:r>
    </w:p>
    <w:tbl>
      <w:tblPr>
        <w:tblStyle w:val="TableGrid"/>
        <w:tblW w:type="auto" w:w="0"/>
        <w:tblLook w:firstColumn="1" w:firstRow="1" w:lastColumn="0" w:lastRow="0" w:noHBand="0" w:noVBand="1" w:val="04A0"/>
      </w:tblPr>
      <w:tblGrid>
        <w:gridCol w:w="4392"/>
        <w:gridCol w:w="4392"/>
      </w:tblGrid>
      <w:tr>
        <w:tc>
          <w:tcPr>
            <w:tcW w:type="dxa" w:w="2160"/>
            <w:shd w:val="clear" w:color="auto" w:fill="E8EDF5"/>
          </w:tcPr>
          <w:p>
            <w:r>
              <w:rPr>
                <w:rFonts w:ascii="Calibri" w:hAnsi="Calibri"/>
                <w:b/>
                <w:color w:val="1E2761"/>
                <w:sz w:val="20"/>
              </w:rPr>
              <w:t>Commits</w:t>
            </w:r>
          </w:p>
        </w:tc>
        <w:tc>
          <w:tcPr>
            <w:tcW w:type="dxa" w:w="7200"/>
          </w:tcPr>
          <w:p>
            <w:r>
              <w:rPr>
                <w:rFonts w:ascii="Calibri" w:hAnsi="Calibri"/>
                <w:color w:val="444444"/>
                <w:sz w:val="20"/>
              </w:rPr>
              <w:t>3835bdd, 298fbf8</w:t>
            </w:r>
          </w:p>
        </w:tc>
      </w:tr>
      <w:tr>
        <w:tc>
          <w:tcPr>
            <w:tcW w:type="dxa" w:w="2160"/>
            <w:shd w:val="clear" w:color="auto" w:fill="E8EDF5"/>
          </w:tcPr>
          <w:p>
            <w:r>
              <w:rPr>
                <w:rFonts w:ascii="Calibri" w:hAnsi="Calibri"/>
                <w:b/>
                <w:color w:val="1E2761"/>
                <w:sz w:val="20"/>
              </w:rPr>
              <w:t>Files changed</w:t>
            </w:r>
          </w:p>
        </w:tc>
        <w:tc>
          <w:tcPr>
            <w:tcW w:type="dxa" w:w="7200"/>
          </w:tcPr>
          <w:p>
            <w:r>
              <w:rPr>
                <w:rFonts w:ascii="Calibri" w:hAnsi="Calibri"/>
                <w:color w:val="444444"/>
                <w:sz w:val="20"/>
              </w:rPr>
              <w:t>store/config_store.py · core/llm.py · admin/routes.py · admin/templates/system.html</w:t>
            </w:r>
          </w:p>
        </w:tc>
      </w:tr>
    </w:tbl>
    <w:p/>
    <w:p>
      <w:pPr>
        <w:spacing w:before="240" w:after="40"/>
      </w:pPr>
      <w:r>
        <w:rPr>
          <w:rFonts w:ascii="Calibri" w:hAnsi="Calibri"/>
          <w:b/>
          <w:color w:val="028090"/>
          <w:sz w:val="24"/>
        </w:rPr>
        <w:t>2.3.1  store/config_store.py — SYSTEM_KEYS Allowlist</w:t>
      </w:r>
    </w:p>
    <w:p>
      <w:pPr>
        <w:spacing w:before="40" w:after="80"/>
      </w:pPr>
      <w:r>
        <w:rPr>
          <w:rFonts w:ascii="Calibri" w:hAnsi="Calibri"/>
          <w:color w:val="444444"/>
          <w:sz w:val="22"/>
        </w:rPr>
        <w:t>Two new keys added to the SYSTEM_KEYS set so set_system() accepts them without raising ValueError:</w:t>
      </w:r>
    </w:p>
    <w:p>
      <w:pPr>
        <w:spacing w:before="80" w:after="80"/>
        <w:ind w:left="432"/>
      </w:pPr>
      <w:r>
        <w:rPr>
          <w:rFonts w:ascii="Courier New" w:hAnsi="Courier New"/>
          <w:color w:val="1F497D"/>
          <w:sz w:val="18"/>
        </w:rPr>
        <w:t>"azure_query_deployment_name",  # deployment name for SQL query calls</w:t>
      </w:r>
    </w:p>
    <w:p>
      <w:pPr>
        <w:spacing w:before="80" w:after="80"/>
        <w:ind w:left="432"/>
      </w:pPr>
      <w:r>
        <w:rPr>
          <w:rFonts w:ascii="Courier New" w:hAnsi="Courier New"/>
          <w:color w:val="1F497D"/>
          <w:sz w:val="18"/>
        </w:rPr>
        <w:t>"azure_kb_deployment_name",     # deployment name for KB generation calls</w:t>
      </w:r>
    </w:p>
    <w:p>
      <w:pPr>
        <w:spacing w:before="240" w:after="40"/>
      </w:pPr>
      <w:r>
        <w:rPr>
          <w:rFonts w:ascii="Calibri" w:hAnsi="Calibri"/>
          <w:b/>
          <w:color w:val="028090"/>
          <w:sz w:val="24"/>
        </w:rPr>
        <w:t>2.3.2  core/llm.py — resolve_provider()</w:t>
      </w:r>
    </w:p>
    <w:p>
      <w:pPr>
        <w:spacing w:before="40" w:after="80"/>
      </w:pPr>
      <w:r>
        <w:rPr>
          <w:rFonts w:ascii="Calibri" w:hAnsi="Calibri"/>
          <w:color w:val="444444"/>
          <w:sz w:val="22"/>
        </w:rPr>
        <w:t>Inside the azure_openai branch of resolve_provider(), after the generic model is read from sys_cfg, the deployment-specific override is applied:</w:t>
      </w:r>
    </w:p>
    <w:p>
      <w:pPr>
        <w:spacing w:before="80" w:after="80"/>
        <w:ind w:left="432"/>
      </w:pPr>
      <w:r>
        <w:rPr>
          <w:rFonts w:ascii="Courier New" w:hAnsi="Courier New"/>
          <w:color w:val="1F497D"/>
          <w:sz w:val="18"/>
        </w:rPr>
        <w:t>_deploy_key = "azure_kb_deployment_name" if purpose == "kb" else "azure_query_deployment_name"</w:t>
      </w:r>
    </w:p>
    <w:p>
      <w:pPr>
        <w:spacing w:before="80" w:after="80"/>
        <w:ind w:left="432"/>
      </w:pPr>
      <w:r>
        <w:rPr>
          <w:rFonts w:ascii="Courier New" w:hAnsi="Courier New"/>
          <w:color w:val="1F497D"/>
          <w:sz w:val="18"/>
        </w:rPr>
        <w:t>_deploy = sys_cfg.get(_deploy_key, "").strip()</w:t>
      </w:r>
    </w:p>
    <w:p>
      <w:pPr>
        <w:spacing w:before="80" w:after="80"/>
        <w:ind w:left="432"/>
      </w:pPr>
      <w:r>
        <w:rPr>
          <w:rFonts w:ascii="Courier New" w:hAnsi="Courier New"/>
          <w:color w:val="1F497D"/>
          <w:sz w:val="18"/>
        </w:rPr>
        <w:t>if _deploy:</w:t>
      </w:r>
    </w:p>
    <w:p>
      <w:pPr>
        <w:spacing w:before="80" w:after="80"/>
        <w:ind w:left="432"/>
      </w:pPr>
      <w:r>
        <w:rPr>
          <w:rFonts w:ascii="Courier New" w:hAnsi="Courier New"/>
          <w:color w:val="1F497D"/>
          <w:sz w:val="18"/>
        </w:rPr>
        <w:t xml:space="preserve">    model = _deploy</w:t>
      </w:r>
    </w:p>
    <w:p>
      <w:pPr>
        <w:spacing w:before="240" w:after="40"/>
      </w:pPr>
      <w:r>
        <w:rPr>
          <w:rFonts w:ascii="Calibri" w:hAnsi="Calibri"/>
          <w:b/>
          <w:color w:val="028090"/>
          <w:sz w:val="24"/>
        </w:rPr>
        <w:t>2.3.3  admin/routes.py — system_save()</w:t>
      </w:r>
    </w:p>
    <w:p>
      <w:pPr>
        <w:spacing w:before="40" w:after="80"/>
      </w:pPr>
      <w:r>
        <w:rPr>
          <w:rFonts w:ascii="Calibri" w:hAnsi="Calibri"/>
          <w:color w:val="444444"/>
          <w:sz w:val="22"/>
        </w:rPr>
        <w:t>The POST /admin/system handler now accepts two new form fields and saves them conditionally:</w:t>
      </w:r>
    </w:p>
    <w:p>
      <w:pPr>
        <w:spacing w:before="80" w:after="80"/>
        <w:ind w:left="432"/>
      </w:pPr>
      <w:r>
        <w:rPr>
          <w:rFonts w:ascii="Courier New" w:hAnsi="Courier New"/>
          <w:color w:val="1F497D"/>
          <w:sz w:val="18"/>
        </w:rPr>
        <w:t>azure_query_deployment: str = Form("")</w:t>
      </w:r>
    </w:p>
    <w:p>
      <w:pPr>
        <w:spacing w:before="80" w:after="80"/>
        <w:ind w:left="432"/>
      </w:pPr>
      <w:r>
        <w:rPr>
          <w:rFonts w:ascii="Courier New" w:hAnsi="Courier New"/>
          <w:color w:val="1F497D"/>
          <w:sz w:val="18"/>
        </w:rPr>
        <w:t>azure_kb_deployment:    str = Form("")</w:t>
      </w:r>
    </w:p>
    <w:p>
      <w:pPr>
        <w:spacing w:before="80" w:after="80"/>
        <w:ind w:left="432"/>
      </w:pPr>
      <w:r>
        <w:rPr>
          <w:rFonts w:ascii="Courier New" w:hAnsi="Courier New"/>
          <w:color w:val="1F497D"/>
          <w:sz w:val="18"/>
        </w:rPr>
        <w:t>if azure_query_deployment.strip():</w:t>
      </w:r>
    </w:p>
    <w:p>
      <w:pPr>
        <w:spacing w:before="80" w:after="80"/>
        <w:ind w:left="432"/>
      </w:pPr>
      <w:r>
        <w:rPr>
          <w:rFonts w:ascii="Courier New" w:hAnsi="Courier New"/>
          <w:color w:val="1F497D"/>
          <w:sz w:val="18"/>
        </w:rPr>
        <w:t xml:space="preserve">    store.set_system("azure_query_deployment_name", azure_query_deployment.strip())</w:t>
      </w:r>
    </w:p>
    <w:p>
      <w:pPr>
        <w:spacing w:before="80" w:after="80"/>
        <w:ind w:left="432"/>
      </w:pPr>
      <w:r>
        <w:rPr>
          <w:rFonts w:ascii="Courier New" w:hAnsi="Courier New"/>
          <w:color w:val="1F497D"/>
          <w:sz w:val="18"/>
        </w:rPr>
        <w:t>if azure_kb_deployment.strip():</w:t>
      </w:r>
    </w:p>
    <w:p>
      <w:pPr>
        <w:spacing w:before="80" w:after="80"/>
        <w:ind w:left="432"/>
      </w:pPr>
      <w:r>
        <w:rPr>
          <w:rFonts w:ascii="Courier New" w:hAnsi="Courier New"/>
          <w:color w:val="1F497D"/>
          <w:sz w:val="18"/>
        </w:rPr>
        <w:t xml:space="preserve">    store.set_system("azure_kb_deployment_name",    azure_kb_deployment.strip())</w:t>
      </w:r>
    </w:p>
    <w:p>
      <w:pPr>
        <w:spacing w:before="240" w:after="40"/>
      </w:pPr>
      <w:r>
        <w:rPr>
          <w:rFonts w:ascii="Calibri" w:hAnsi="Calibri"/>
          <w:b/>
          <w:color w:val="028090"/>
          <w:sz w:val="24"/>
        </w:rPr>
        <w:t>2.3.4  Admin UI</w:t>
      </w:r>
    </w:p>
    <w:p>
      <w:pPr>
        <w:spacing w:before="40" w:after="80"/>
      </w:pPr>
      <w:r>
        <w:rPr>
          <w:rFonts w:ascii="Calibri" w:hAnsi="Calibri"/>
          <w:color w:val="444444"/>
          <w:sz w:val="22"/>
        </w:rPr>
        <w:t>Two labelled text inputs were added to Admin → System → Azure OpenAI section: 'Deployment Name (Query)' and 'Deployment Name (KB Generation)'. Both pre-populate from saved config on page load. In the later REQ-002 redesign, these became hidden inputs fed by deployment card selection (Step 2) with a manual fallback text box in Step 3.</w:t>
      </w:r>
    </w:p>
    <w:p>
      <w:r>
        <w:br w:type="page"/>
      </w:r>
    </w:p>
    <w:p>
      <w:pPr>
        <w:spacing w:before="360" w:after="80"/>
        <w:pBdr>
          <w:bottom w:val="single" w:sz="6" w:space="1" w:color="1E2761"/>
        </w:pBdr>
      </w:pPr>
      <w:r>
        <w:rPr>
          <w:rFonts w:ascii="Calibri" w:hAnsi="Calibri"/>
          <w:b/>
          <w:color w:val="1E2761"/>
          <w:sz w:val="32"/>
        </w:rPr>
        <w:t>3. REQ-002 — Azure Deployment Auto-Fetch + Redesigned System UI</w:t>
      </w:r>
    </w:p>
    <w:tbl>
      <w:tblPr>
        <w:tblStyle w:val="TableGrid"/>
        <w:tblW w:type="auto" w:w="0"/>
        <w:tblLook w:firstColumn="1" w:firstRow="1" w:lastColumn="0" w:lastRow="0" w:noHBand="0" w:noVBand="1" w:val="04A0"/>
      </w:tblPr>
      <w:tblGrid>
        <w:gridCol w:w="8784"/>
      </w:tblGrid>
      <w:tr>
        <w:tc>
          <w:tcPr>
            <w:tcW w:type="dxa" w:w="2592"/>
            <w:shd w:val="clear" w:color="auto" w:fill="107C10"/>
          </w:tcPr>
          <w:p>
            <w:pPr>
              <w:jc w:val="center"/>
            </w:pPr>
            <w:r>
              <w:rPr>
                <w:rFonts w:ascii="Calibri" w:hAnsi="Calibri"/>
                <w:b/>
                <w:color w:val="FFFFFF"/>
                <w:sz w:val="20"/>
              </w:rPr>
              <w:t xml:space="preserve">  COMPLETED  </w:t>
            </w:r>
          </w:p>
        </w:tc>
      </w:tr>
    </w:tbl>
    <w:p/>
    <w:p>
      <w:pPr>
        <w:spacing w:before="240" w:after="40"/>
      </w:pPr>
      <w:r>
        <w:rPr>
          <w:rFonts w:ascii="Calibri" w:hAnsi="Calibri"/>
          <w:b/>
          <w:color w:val="028090"/>
          <w:sz w:val="24"/>
        </w:rPr>
        <w:t>3.1 Background</w:t>
      </w:r>
    </w:p>
    <w:p>
      <w:pPr>
        <w:spacing w:before="40" w:after="80"/>
      </w:pPr>
      <w:r>
        <w:rPr>
          <w:rFonts w:ascii="Calibri" w:hAnsi="Calibri"/>
          <w:color w:val="444444"/>
          <w:sz w:val="22"/>
        </w:rPr>
        <w:t>Admins had no visibility into which deployments existed inside their Azure OpenAI resource. They had to navigate to Azure Portal / Azure AI Foundry, copy the deployment name manually, and paste it into the QueryBot admin form — a fragile, error-prone process. Additionally the Azure OpenAI section of the Admin System page used a plain flat form that did not guide the user through the configuration order.</w:t>
      </w:r>
    </w:p>
    <w:p>
      <w:pPr>
        <w:spacing w:before="240" w:after="40"/>
      </w:pPr>
      <w:r>
        <w:rPr>
          <w:rFonts w:ascii="Calibri" w:hAnsi="Calibri"/>
          <w:b/>
          <w:color w:val="028090"/>
          <w:sz w:val="24"/>
        </w:rPr>
        <w:t>3.2 Requirements</w:t>
      </w:r>
    </w:p>
    <w:p>
      <w:pPr>
        <w:pStyle w:val="ListBullet"/>
        <w:spacing w:before="20" w:after="20"/>
      </w:pPr>
      <w:r>
        <w:rPr>
          <w:rFonts w:ascii="Calibri" w:hAnsi="Calibri"/>
          <w:b/>
          <w:color w:val="444444"/>
          <w:sz w:val="22"/>
        </w:rPr>
        <w:t xml:space="preserve">R-002-1  </w:t>
      </w:r>
      <w:r>
        <w:rPr>
          <w:rFonts w:ascii="Calibri" w:hAnsi="Calibri"/>
          <w:color w:val="444444"/>
          <w:sz w:val="22"/>
        </w:rPr>
        <w:t>A 'Fetch deployments from Azure' button must call the Azure data-plane list-deployments API using saved credentials.</w:t>
      </w:r>
    </w:p>
    <w:p>
      <w:pPr>
        <w:pStyle w:val="ListBullet"/>
        <w:spacing w:before="20" w:after="20"/>
      </w:pPr>
      <w:r>
        <w:rPr>
          <w:rFonts w:ascii="Calibri" w:hAnsi="Calibri"/>
          <w:b/>
          <w:color w:val="444444"/>
          <w:sz w:val="22"/>
        </w:rPr>
        <w:t xml:space="preserve">R-002-2  </w:t>
      </w:r>
      <w:r>
        <w:rPr>
          <w:rFonts w:ascii="Calibri" w:hAnsi="Calibri"/>
          <w:color w:val="444444"/>
          <w:sz w:val="22"/>
        </w:rPr>
        <w:t>Returned deployments must display as interactive cards showing model name and provisioning status.</w:t>
      </w:r>
    </w:p>
    <w:p>
      <w:pPr>
        <w:pStyle w:val="ListBullet"/>
        <w:spacing w:before="20" w:after="20"/>
      </w:pPr>
      <w:r>
        <w:rPr>
          <w:rFonts w:ascii="Calibri" w:hAnsi="Calibri"/>
          <w:b/>
          <w:color w:val="444444"/>
          <w:sz w:val="22"/>
        </w:rPr>
        <w:t xml:space="preserve">R-002-3  </w:t>
      </w:r>
      <w:r>
        <w:rPr>
          <w:rFonts w:ascii="Calibri" w:hAnsi="Calibri"/>
          <w:color w:val="444444"/>
          <w:sz w:val="22"/>
        </w:rPr>
        <w:t>Each card must have 'Use for Query' and 'Use for KB' action buttons that populate the hidden form fields.</w:t>
      </w:r>
    </w:p>
    <w:p>
      <w:pPr>
        <w:pStyle w:val="ListBullet"/>
        <w:spacing w:before="20" w:after="20"/>
      </w:pPr>
      <w:r>
        <w:rPr>
          <w:rFonts w:ascii="Calibri" w:hAnsi="Calibri"/>
          <w:b/>
          <w:color w:val="444444"/>
          <w:sz w:val="22"/>
        </w:rPr>
        <w:t xml:space="preserve">R-002-4  </w:t>
      </w:r>
      <w:r>
        <w:rPr>
          <w:rFonts w:ascii="Calibri" w:hAnsi="Calibri"/>
          <w:color w:val="444444"/>
          <w:sz w:val="22"/>
        </w:rPr>
        <w:t>A summary bar must reflect currently selected deployment names in real time.</w:t>
      </w:r>
    </w:p>
    <w:p>
      <w:pPr>
        <w:pStyle w:val="ListBullet"/>
        <w:spacing w:before="20" w:after="20"/>
      </w:pPr>
      <w:r>
        <w:rPr>
          <w:rFonts w:ascii="Calibri" w:hAnsi="Calibri"/>
          <w:b/>
          <w:color w:val="444444"/>
          <w:sz w:val="22"/>
        </w:rPr>
        <w:t xml:space="preserve">R-002-5  </w:t>
      </w:r>
      <w:r>
        <w:rPr>
          <w:rFonts w:ascii="Calibri" w:hAnsi="Calibri"/>
          <w:color w:val="444444"/>
          <w:sz w:val="22"/>
        </w:rPr>
        <w:t>When the primary API version returns 404, the system must retry with up to 7 API versions automatically.</w:t>
      </w:r>
    </w:p>
    <w:p>
      <w:pPr>
        <w:pStyle w:val="ListBullet"/>
        <w:spacing w:before="20" w:after="20"/>
      </w:pPr>
      <w:r>
        <w:rPr>
          <w:rFonts w:ascii="Calibri" w:hAnsi="Calibri"/>
          <w:b/>
          <w:color w:val="444444"/>
          <w:sz w:val="22"/>
        </w:rPr>
        <w:t xml:space="preserve">R-002-6  </w:t>
      </w:r>
      <w:r>
        <w:rPr>
          <w:rFonts w:ascii="Calibri" w:hAnsi="Calibri"/>
          <w:color w:val="444444"/>
          <w:sz w:val="22"/>
        </w:rPr>
        <w:t>When auto-fetch is not possible (e.g. AI Services endpoint), a manual text input fallback must remain accessible.</w:t>
      </w:r>
    </w:p>
    <w:p>
      <w:pPr>
        <w:pStyle w:val="ListBullet"/>
        <w:spacing w:before="20" w:after="20"/>
      </w:pPr>
      <w:r>
        <w:rPr>
          <w:rFonts w:ascii="Calibri" w:hAnsi="Calibri"/>
          <w:b/>
          <w:color w:val="444444"/>
          <w:sz w:val="22"/>
        </w:rPr>
        <w:t xml:space="preserve">R-002-7  </w:t>
      </w:r>
      <w:r>
        <w:rPr>
          <w:rFonts w:ascii="Calibri" w:hAnsi="Calibri"/>
          <w:color w:val="444444"/>
          <w:sz w:val="22"/>
        </w:rPr>
        <w:t>All existing credential fields (key, endpoint, API version) must be retained in the redesigned UI.</w:t>
      </w:r>
    </w:p>
    <w:p>
      <w:pPr>
        <w:spacing w:before="240" w:after="40"/>
      </w:pPr>
      <w:r>
        <w:rPr>
          <w:rFonts w:ascii="Calibri" w:hAnsi="Calibri"/>
          <w:b/>
          <w:color w:val="028090"/>
          <w:sz w:val="24"/>
        </w:rPr>
        <w:t>3.3 Implementation Details</w:t>
      </w:r>
    </w:p>
    <w:tbl>
      <w:tblPr>
        <w:tblStyle w:val="TableGrid"/>
        <w:tblW w:type="auto" w:w="0"/>
        <w:tblLook w:firstColumn="1" w:firstRow="1" w:lastColumn="0" w:lastRow="0" w:noHBand="0" w:noVBand="1" w:val="04A0"/>
      </w:tblPr>
      <w:tblGrid>
        <w:gridCol w:w="4392"/>
        <w:gridCol w:w="4392"/>
      </w:tblGrid>
      <w:tr>
        <w:tc>
          <w:tcPr>
            <w:tcW w:type="dxa" w:w="2160"/>
            <w:shd w:val="clear" w:color="auto" w:fill="E8EDF5"/>
          </w:tcPr>
          <w:p>
            <w:r>
              <w:rPr>
                <w:rFonts w:ascii="Calibri" w:hAnsi="Calibri"/>
                <w:b/>
                <w:color w:val="1E2761"/>
                <w:sz w:val="20"/>
              </w:rPr>
              <w:t>Commits</w:t>
            </w:r>
          </w:p>
        </w:tc>
        <w:tc>
          <w:tcPr>
            <w:tcW w:type="dxa" w:w="7200"/>
          </w:tcPr>
          <w:p>
            <w:r>
              <w:rPr>
                <w:rFonts w:ascii="Calibri" w:hAnsi="Calibri"/>
                <w:color w:val="444444"/>
                <w:sz w:val="20"/>
              </w:rPr>
              <w:t>08e83ec, 39f5d63, 141ac98</w:t>
            </w:r>
          </w:p>
        </w:tc>
      </w:tr>
      <w:tr>
        <w:tc>
          <w:tcPr>
            <w:tcW w:type="dxa" w:w="2160"/>
            <w:shd w:val="clear" w:color="auto" w:fill="E8EDF5"/>
          </w:tcPr>
          <w:p>
            <w:r>
              <w:rPr>
                <w:rFonts w:ascii="Calibri" w:hAnsi="Calibri"/>
                <w:b/>
                <w:color w:val="1E2761"/>
                <w:sz w:val="20"/>
              </w:rPr>
              <w:t>Files changed</w:t>
            </w:r>
          </w:p>
        </w:tc>
        <w:tc>
          <w:tcPr>
            <w:tcW w:type="dxa" w:w="7200"/>
          </w:tcPr>
          <w:p>
            <w:r>
              <w:rPr>
                <w:rFonts w:ascii="Calibri" w:hAnsi="Calibri"/>
                <w:color w:val="444444"/>
                <w:sz w:val="20"/>
              </w:rPr>
              <w:t>admin/routes.py · admin/templates/system.html</w:t>
            </w:r>
          </w:p>
        </w:tc>
      </w:tr>
    </w:tbl>
    <w:p/>
    <w:p>
      <w:pPr>
        <w:spacing w:before="240" w:after="40"/>
      </w:pPr>
      <w:r>
        <w:rPr>
          <w:rFonts w:ascii="Calibri" w:hAnsi="Calibri"/>
          <w:b/>
          <w:color w:val="028090"/>
          <w:sz w:val="24"/>
        </w:rPr>
        <w:t>3.3.1  New API Endpoint — GET /admin/system/azure-deployments</w:t>
      </w:r>
    </w:p>
    <w:p>
      <w:pPr>
        <w:spacing w:before="40" w:after="80"/>
      </w:pPr>
      <w:r>
        <w:rPr>
          <w:rFonts w:ascii="Calibri" w:hAnsi="Calibri"/>
          <w:color w:val="444444"/>
          <w:sz w:val="22"/>
        </w:rPr>
        <w:t>A new read-only admin endpoint was added to admin/routes.py. It reads the saved Azure credentials from the system config store and calls:</w:t>
      </w:r>
    </w:p>
    <w:p>
      <w:pPr>
        <w:spacing w:before="80" w:after="80"/>
        <w:ind w:left="432"/>
      </w:pPr>
      <w:r>
        <w:rPr>
          <w:rFonts w:ascii="Courier New" w:hAnsi="Courier New"/>
          <w:color w:val="1F497D"/>
          <w:sz w:val="18"/>
        </w:rPr>
        <w:t>GET {endpoint}/openai/deployments?api-version={version}</w:t>
      </w:r>
    </w:p>
    <w:p>
      <w:pPr>
        <w:spacing w:before="40" w:after="80"/>
      </w:pPr>
      <w:r>
        <w:rPr>
          <w:rFonts w:ascii="Calibri" w:hAnsi="Calibri"/>
          <w:color w:val="444444"/>
          <w:sz w:val="22"/>
        </w:rPr>
        <w:t>API version fallback: if the configured version returns a non-200 response, the endpoint retries through the following fallback list in order:</w:t>
      </w:r>
    </w:p>
    <w:p>
      <w:pPr>
        <w:pStyle w:val="ListBullet"/>
        <w:spacing w:before="20" w:after="20"/>
      </w:pPr>
      <w:r>
        <w:rPr>
          <w:rFonts w:ascii="Calibri" w:hAnsi="Calibri"/>
          <w:color w:val="444444"/>
          <w:sz w:val="22"/>
        </w:rPr>
        <w:t>2025-01-01-preview</w:t>
      </w:r>
    </w:p>
    <w:p>
      <w:pPr>
        <w:pStyle w:val="ListBullet"/>
        <w:spacing w:before="20" w:after="20"/>
      </w:pPr>
      <w:r>
        <w:rPr>
          <w:rFonts w:ascii="Calibri" w:hAnsi="Calibri"/>
          <w:color w:val="444444"/>
          <w:sz w:val="22"/>
        </w:rPr>
        <w:t>2024-12-01-preview</w:t>
      </w:r>
    </w:p>
    <w:p>
      <w:pPr>
        <w:pStyle w:val="ListBullet"/>
        <w:spacing w:before="20" w:after="20"/>
      </w:pPr>
      <w:r>
        <w:rPr>
          <w:rFonts w:ascii="Calibri" w:hAnsi="Calibri"/>
          <w:color w:val="444444"/>
          <w:sz w:val="22"/>
        </w:rPr>
        <w:t>2024-10-21</w:t>
      </w:r>
    </w:p>
    <w:p>
      <w:pPr>
        <w:pStyle w:val="ListBullet"/>
        <w:spacing w:before="20" w:after="20"/>
      </w:pPr>
      <w:r>
        <w:rPr>
          <w:rFonts w:ascii="Calibri" w:hAnsi="Calibri"/>
          <w:color w:val="444444"/>
          <w:sz w:val="22"/>
        </w:rPr>
        <w:t>2024-05-01-preview</w:t>
      </w:r>
    </w:p>
    <w:p>
      <w:pPr>
        <w:pStyle w:val="ListBullet"/>
        <w:spacing w:before="20" w:after="20"/>
      </w:pPr>
      <w:r>
        <w:rPr>
          <w:rFonts w:ascii="Calibri" w:hAnsi="Calibri"/>
          <w:color w:val="444444"/>
          <w:sz w:val="22"/>
        </w:rPr>
        <w:t>2023-09-01-preview</w:t>
      </w:r>
    </w:p>
    <w:p>
      <w:pPr>
        <w:pStyle w:val="ListBullet"/>
        <w:spacing w:before="20" w:after="20"/>
      </w:pPr>
      <w:r>
        <w:rPr>
          <w:rFonts w:ascii="Calibri" w:hAnsi="Calibri"/>
          <w:color w:val="444444"/>
          <w:sz w:val="22"/>
        </w:rPr>
        <w:t>2023-05-15</w:t>
      </w:r>
    </w:p>
    <w:p>
      <w:pPr>
        <w:spacing w:before="40" w:after="80"/>
      </w:pPr>
      <w:r>
        <w:rPr>
          <w:rFonts w:ascii="Calibri" w:hAnsi="Calibri"/>
          <w:color w:val="444444"/>
          <w:sz w:val="22"/>
        </w:rPr>
        <w:t>On success the endpoint returns {"ok": true, "deployments": [...], "api_version_used": "..."}.  On failure it returns {"ok": false, "error": "...actionable message..."}.</w:t>
      </w:r>
    </w:p>
    <w:p>
      <w:pPr>
        <w:spacing w:before="240" w:after="40"/>
      </w:pPr>
      <w:r>
        <w:rPr>
          <w:rFonts w:ascii="Calibri" w:hAnsi="Calibri"/>
          <w:b/>
          <w:color w:val="028090"/>
          <w:sz w:val="24"/>
        </w:rPr>
        <w:t>3.3.2  Known Limitation — Azure AI Services Endpoints</w:t>
      </w:r>
    </w:p>
    <w:p>
      <w:pPr>
        <w:spacing w:before="40" w:after="80"/>
      </w:pPr>
      <w:r>
        <w:rPr>
          <w:rFonts w:ascii="Calibri" w:hAnsi="Calibri"/>
          <w:color w:val="444444"/>
          <w:sz w:val="22"/>
        </w:rPr>
        <w:t>Resources hosted at *.cognitiveservices.azure.com (Azure AI Foundry / AI Services) do not expose the data-plane deployment listing API regardless of API version. These require the Azure Resource Manager API with Azure AD bearer token authentication, which is not implemented. Admins with this endpoint type must use the Step 3 manual text input and obtain the deployment name from Azure AI Foundry → Models + endpoints.</w:t>
      </w:r>
    </w:p>
    <w:p>
      <w:pPr>
        <w:spacing w:before="240" w:after="40"/>
      </w:pPr>
      <w:r>
        <w:rPr>
          <w:rFonts w:ascii="Calibri" w:hAnsi="Calibri"/>
          <w:b/>
          <w:color w:val="028090"/>
          <w:sz w:val="24"/>
        </w:rPr>
        <w:t>3.3.3  Redesigned Admin UI — 3-Step Guided Flow</w:t>
      </w:r>
    </w:p>
    <w:p>
      <w:pPr>
        <w:spacing w:before="40" w:after="80"/>
      </w:pPr>
      <w:r>
        <w:rPr>
          <w:rFonts w:ascii="Calibri" w:hAnsi="Calibri"/>
          <w:color w:val="444444"/>
          <w:sz w:val="22"/>
        </w:rPr>
        <w:t>The Azure OpenAI section of admin/templates/system.html was redesigned as a 3-step guided flow:</w:t>
      </w:r>
    </w:p>
    <w:p>
      <w:pPr>
        <w:pStyle w:val="ListBullet"/>
        <w:spacing w:before="20" w:after="20"/>
      </w:pPr>
      <w:r>
        <w:rPr>
          <w:rFonts w:ascii="Calibri" w:hAnsi="Calibri"/>
          <w:b/>
          <w:color w:val="444444"/>
          <w:sz w:val="22"/>
        </w:rPr>
        <w:t xml:space="preserve">Step 1  </w:t>
      </w:r>
      <w:r>
        <w:rPr>
          <w:rFonts w:ascii="Calibri" w:hAnsi="Calibri"/>
          <w:color w:val="444444"/>
          <w:sz w:val="22"/>
        </w:rPr>
        <w:t>Step 1 — Credentials: API key, endpoint URL, API version. Saved on main form submit.</w:t>
      </w:r>
    </w:p>
    <w:p>
      <w:pPr>
        <w:pStyle w:val="ListBullet"/>
        <w:spacing w:before="20" w:after="20"/>
      </w:pPr>
      <w:r>
        <w:rPr>
          <w:rFonts w:ascii="Calibri" w:hAnsi="Calibri"/>
          <w:b/>
          <w:color w:val="444444"/>
          <w:sz w:val="22"/>
        </w:rPr>
        <w:t xml:space="preserve">Step 2  </w:t>
      </w:r>
      <w:r>
        <w:rPr>
          <w:rFonts w:ascii="Calibri" w:hAnsi="Calibri"/>
          <w:color w:val="444444"/>
          <w:sz w:val="22"/>
        </w:rPr>
        <w:t>Step 2 — Fetch Deployments: Button triggers /admin/system/azure-deployments. Spinner shows during fetch. Deployment cards rendered with model name, status badge, and 'Use for Query' / 'Use for KB' buttons. 'Currently saved' summary bar updates on selection.</w:t>
      </w:r>
    </w:p>
    <w:p>
      <w:pPr>
        <w:pStyle w:val="ListBullet"/>
        <w:spacing w:before="20" w:after="20"/>
      </w:pPr>
      <w:r>
        <w:rPr>
          <w:rFonts w:ascii="Calibri" w:hAnsi="Calibri"/>
          <w:b/>
          <w:color w:val="444444"/>
          <w:sz w:val="22"/>
        </w:rPr>
        <w:t xml:space="preserve">Step 3  </w:t>
      </w:r>
      <w:r>
        <w:rPr>
          <w:rFonts w:ascii="Calibri" w:hAnsi="Calibri"/>
          <w:color w:val="444444"/>
          <w:sz w:val="22"/>
        </w:rPr>
        <w:t>Step 3 — Manual Override (collapsed): &lt;details&gt; section containing free-text inputs for deployment names. Fallback for when auto-fetch is not available.</w:t>
      </w:r>
    </w:p>
    <w:p>
      <w:pPr>
        <w:spacing w:before="40" w:after="80"/>
      </w:pPr>
      <w:r>
        <w:rPr>
          <w:rFonts w:ascii="Calibri" w:hAnsi="Calibri"/>
          <w:color w:val="444444"/>
          <w:sz w:val="22"/>
        </w:rPr>
        <w:t>Hidden form inputs &lt;input type='hidden' name='azure_query_deployment' id='az-query-deploy-val'&gt; and &lt;input type='hidden' name='azure_kb_deployment' id='az-kb-deploy-val'&gt; carry the selected deployment names into the main form POST, ensuring they are saved when the admin clicks Save.</w:t>
      </w:r>
    </w:p>
    <w:p>
      <w:r>
        <w:br w:type="page"/>
      </w:r>
    </w:p>
    <w:p>
      <w:pPr>
        <w:spacing w:before="360" w:after="80"/>
        <w:pBdr>
          <w:bottom w:val="single" w:sz="6" w:space="1" w:color="1E2761"/>
        </w:pBdr>
      </w:pPr>
      <w:r>
        <w:rPr>
          <w:rFonts w:ascii="Calibri" w:hAnsi="Calibri"/>
          <w:b/>
          <w:color w:val="1E2761"/>
          <w:sz w:val="32"/>
        </w:rPr>
        <w:t>4. REQ-003 — Auto-Format Currency / Percentage by Column Name</w:t>
      </w:r>
    </w:p>
    <w:tbl>
      <w:tblPr>
        <w:tblStyle w:val="TableGrid"/>
        <w:tblW w:type="auto" w:w="0"/>
        <w:tblLook w:firstColumn="1" w:firstRow="1" w:lastColumn="0" w:lastRow="0" w:noHBand="0" w:noVBand="1" w:val="04A0"/>
      </w:tblPr>
      <w:tblGrid>
        <w:gridCol w:w="8784"/>
      </w:tblGrid>
      <w:tr>
        <w:tc>
          <w:tcPr>
            <w:tcW w:type="dxa" w:w="2592"/>
            <w:shd w:val="clear" w:color="auto" w:fill="107C10"/>
          </w:tcPr>
          <w:p>
            <w:pPr>
              <w:jc w:val="center"/>
            </w:pPr>
            <w:r>
              <w:rPr>
                <w:rFonts w:ascii="Calibri" w:hAnsi="Calibri"/>
                <w:b/>
                <w:color w:val="FFFFFF"/>
                <w:sz w:val="20"/>
              </w:rPr>
              <w:t xml:space="preserve">  COMPLETED  </w:t>
            </w:r>
          </w:p>
        </w:tc>
      </w:tr>
    </w:tbl>
    <w:p/>
    <w:p>
      <w:pPr>
        <w:spacing w:before="240" w:after="40"/>
      </w:pPr>
      <w:r>
        <w:rPr>
          <w:rFonts w:ascii="Calibri" w:hAnsi="Calibri"/>
          <w:b/>
          <w:color w:val="028090"/>
          <w:sz w:val="24"/>
        </w:rPr>
        <w:t>4.1 Background</w:t>
      </w:r>
    </w:p>
    <w:p>
      <w:pPr>
        <w:spacing w:before="40" w:after="80"/>
      </w:pPr>
      <w:r>
        <w:rPr>
          <w:rFonts w:ascii="Calibri" w:hAnsi="Calibri"/>
          <w:color w:val="444444"/>
          <w:sz w:val="22"/>
        </w:rPr>
        <w:t>Query results returned from the database were displayed as raw numbers (e.g. 1234567.89) with no currency symbol or percentage sign, making them hard to read for business users. Admins configure column metadata in the semantic layer but there was no automatic mapping from column name patterns to display format.</w:t>
      </w:r>
    </w:p>
    <w:p>
      <w:pPr>
        <w:spacing w:before="240" w:after="40"/>
      </w:pPr>
      <w:r>
        <w:rPr>
          <w:rFonts w:ascii="Calibri" w:hAnsi="Calibri"/>
          <w:b/>
          <w:color w:val="028090"/>
          <w:sz w:val="24"/>
        </w:rPr>
        <w:t>4.2 Requirements</w:t>
      </w:r>
    </w:p>
    <w:p>
      <w:pPr>
        <w:pStyle w:val="ListBullet"/>
        <w:spacing w:before="20" w:after="20"/>
      </w:pPr>
      <w:r>
        <w:rPr>
          <w:rFonts w:ascii="Calibri" w:hAnsi="Calibri"/>
          <w:b/>
          <w:color w:val="444444"/>
          <w:sz w:val="22"/>
        </w:rPr>
        <w:t xml:space="preserve">R-003-1  </w:t>
      </w:r>
      <w:r>
        <w:rPr>
          <w:rFonts w:ascii="Calibri" w:hAnsi="Calibri"/>
          <w:color w:val="444444"/>
          <w:sz w:val="22"/>
        </w:rPr>
        <w:t>Numeric columns whose names contain revenue, sales, cost, price, amount, spend, budget, or profit must render with a currency symbol and thousands separator.</w:t>
      </w:r>
    </w:p>
    <w:p>
      <w:pPr>
        <w:pStyle w:val="ListBullet"/>
        <w:spacing w:before="20" w:after="20"/>
      </w:pPr>
      <w:r>
        <w:rPr>
          <w:rFonts w:ascii="Calibri" w:hAnsi="Calibri"/>
          <w:b/>
          <w:color w:val="444444"/>
          <w:sz w:val="22"/>
        </w:rPr>
        <w:t xml:space="preserve">R-003-2  </w:t>
      </w:r>
      <w:r>
        <w:rPr>
          <w:rFonts w:ascii="Calibri" w:hAnsi="Calibri"/>
          <w:color w:val="444444"/>
          <w:sz w:val="22"/>
        </w:rPr>
        <w:t>Numeric columns whose names contain rate, pct, percent, margin, or ratio must render with a % suffix.</w:t>
      </w:r>
    </w:p>
    <w:p>
      <w:pPr>
        <w:pStyle w:val="ListBullet"/>
        <w:spacing w:before="20" w:after="20"/>
      </w:pPr>
      <w:r>
        <w:rPr>
          <w:rFonts w:ascii="Calibri" w:hAnsi="Calibri"/>
          <w:b/>
          <w:color w:val="444444"/>
          <w:sz w:val="22"/>
        </w:rPr>
        <w:t xml:space="preserve">R-003-3  </w:t>
      </w:r>
      <w:r>
        <w:rPr>
          <w:rFonts w:ascii="Calibri" w:hAnsi="Calibri"/>
          <w:color w:val="444444"/>
          <w:sz w:val="22"/>
        </w:rPr>
        <w:t>All formatting must apply at result render time, not at the SQL layer.</w:t>
      </w:r>
    </w:p>
    <w:p>
      <w:pPr>
        <w:pStyle w:val="ListBullet"/>
        <w:spacing w:before="20" w:after="20"/>
      </w:pPr>
      <w:r>
        <w:rPr>
          <w:rFonts w:ascii="Calibri" w:hAnsi="Calibri"/>
          <w:b/>
          <w:color w:val="444444"/>
          <w:sz w:val="22"/>
        </w:rPr>
        <w:t xml:space="preserve">R-003-4  </w:t>
      </w:r>
      <w:r>
        <w:rPr>
          <w:rFonts w:ascii="Calibri" w:hAnsi="Calibri"/>
          <w:color w:val="444444"/>
          <w:sz w:val="22"/>
        </w:rPr>
        <w:t>Non-matching columns must be unaffected — no regression on plain integer or float columns.</w:t>
      </w:r>
    </w:p>
    <w:p>
      <w:pPr>
        <w:spacing w:before="240" w:after="40"/>
      </w:pPr>
      <w:r>
        <w:rPr>
          <w:rFonts w:ascii="Calibri" w:hAnsi="Calibri"/>
          <w:b/>
          <w:color w:val="028090"/>
          <w:sz w:val="24"/>
        </w:rPr>
        <w:t>4.3 Implementation Details</w:t>
      </w:r>
    </w:p>
    <w:tbl>
      <w:tblPr>
        <w:tblStyle w:val="TableGrid"/>
        <w:tblW w:type="auto" w:w="0"/>
        <w:tblLook w:firstColumn="1" w:firstRow="1" w:lastColumn="0" w:lastRow="0" w:noHBand="0" w:noVBand="1" w:val="04A0"/>
      </w:tblPr>
      <w:tblGrid>
        <w:gridCol w:w="4392"/>
        <w:gridCol w:w="4392"/>
      </w:tblGrid>
      <w:tr>
        <w:tc>
          <w:tcPr>
            <w:tcW w:type="dxa" w:w="2160"/>
            <w:shd w:val="clear" w:color="auto" w:fill="E8EDF5"/>
          </w:tcPr>
          <w:p>
            <w:r>
              <w:rPr>
                <w:rFonts w:ascii="Calibri" w:hAnsi="Calibri"/>
                <w:b/>
                <w:color w:val="1E2761"/>
                <w:sz w:val="20"/>
              </w:rPr>
              <w:t>Files changed</w:t>
            </w:r>
          </w:p>
        </w:tc>
        <w:tc>
          <w:tcPr>
            <w:tcW w:type="dxa" w:w="7200"/>
          </w:tcPr>
          <w:p>
            <w:r>
              <w:rPr>
                <w:rFonts w:ascii="Calibri" w:hAnsi="Calibri"/>
                <w:color w:val="444444"/>
                <w:sz w:val="20"/>
              </w:rPr>
              <w:t>core/result_renderer.py</w:t>
            </w:r>
          </w:p>
        </w:tc>
      </w:tr>
    </w:tbl>
    <w:p/>
    <w:p>
      <w:pPr>
        <w:spacing w:before="40" w:after="80"/>
      </w:pPr>
      <w:r>
        <w:rPr>
          <w:rFonts w:ascii="Calibri" w:hAnsi="Calibri"/>
          <w:color w:val="444444"/>
          <w:sz w:val="22"/>
        </w:rPr>
        <w:t>Column-name pattern matching is performed in core/result_renderer.py. The renderer inspects each column name (case-insensitive substring match) against the keyword lists and applies the appropriate number format string before rendering the cell value.</w:t>
      </w:r>
    </w:p>
    <w:p>
      <w:r>
        <w:br w:type="page"/>
      </w:r>
    </w:p>
    <w:p>
      <w:pPr>
        <w:spacing w:before="360" w:after="80"/>
        <w:pBdr>
          <w:bottom w:val="single" w:sz="6" w:space="1" w:color="1E2761"/>
        </w:pBdr>
      </w:pPr>
      <w:r>
        <w:rPr>
          <w:rFonts w:ascii="Calibri" w:hAnsi="Calibri"/>
          <w:b/>
          <w:color w:val="1E2761"/>
          <w:sz w:val="32"/>
        </w:rPr>
        <w:t>5. REQ-004 — Fix: % Contribution Stuck Spinner &amp; Decimal Type Failure</w:t>
      </w:r>
    </w:p>
    <w:tbl>
      <w:tblPr>
        <w:tblStyle w:val="TableGrid"/>
        <w:tblW w:type="auto" w:w="0"/>
        <w:tblLook w:firstColumn="1" w:firstRow="1" w:lastColumn="0" w:lastRow="0" w:noHBand="0" w:noVBand="1" w:val="04A0"/>
      </w:tblPr>
      <w:tblGrid>
        <w:gridCol w:w="8784"/>
      </w:tblGrid>
      <w:tr>
        <w:tc>
          <w:tcPr>
            <w:tcW w:type="dxa" w:w="2592"/>
            <w:shd w:val="clear" w:color="auto" w:fill="107C10"/>
          </w:tcPr>
          <w:p>
            <w:pPr>
              <w:jc w:val="center"/>
            </w:pPr>
            <w:r>
              <w:rPr>
                <w:rFonts w:ascii="Calibri" w:hAnsi="Calibri"/>
                <w:b/>
                <w:color w:val="FFFFFF"/>
                <w:sz w:val="20"/>
              </w:rPr>
              <w:t xml:space="preserve">  COMPLETED  </w:t>
            </w:r>
          </w:p>
        </w:tc>
      </w:tr>
    </w:tbl>
    <w:p/>
    <w:p>
      <w:pPr>
        <w:spacing w:before="240" w:after="40"/>
      </w:pPr>
      <w:r>
        <w:rPr>
          <w:rFonts w:ascii="Calibri" w:hAnsi="Calibri"/>
          <w:b/>
          <w:color w:val="028090"/>
          <w:sz w:val="24"/>
        </w:rPr>
        <w:t>5.1 Background</w:t>
      </w:r>
    </w:p>
    <w:p>
      <w:pPr>
        <w:spacing w:before="40" w:after="80"/>
      </w:pPr>
      <w:r>
        <w:rPr>
          <w:rFonts w:ascii="Calibri" w:hAnsi="Calibri"/>
          <w:color w:val="444444"/>
          <w:sz w:val="22"/>
        </w:rPr>
        <w:t>The 'Show % Contribution' pill on result tables triggered a backend calculation that sometimes returned a spinning indicator that never resolved. Investigation revealed two bugs:</w:t>
      </w:r>
    </w:p>
    <w:p>
      <w:pPr>
        <w:pStyle w:val="ListBullet"/>
        <w:spacing w:before="20" w:after="20"/>
      </w:pPr>
      <w:r>
        <w:rPr>
          <w:rFonts w:ascii="Calibri" w:hAnsi="Calibri"/>
          <w:b/>
          <w:color w:val="444444"/>
          <w:sz w:val="22"/>
        </w:rPr>
        <w:t xml:space="preserve">Bug A  </w:t>
      </w:r>
      <w:r>
        <w:rPr>
          <w:rFonts w:ascii="Calibri" w:hAnsi="Calibri"/>
          <w:color w:val="444444"/>
          <w:sz w:val="22"/>
        </w:rPr>
        <w:t>The contribution endpoint returned a Python Decimal type that is not JSON-serialisable, causing a 500 error that the frontend did not surface — leaving the spinner stuck indefinitely.</w:t>
      </w:r>
    </w:p>
    <w:p>
      <w:pPr>
        <w:pStyle w:val="ListBullet"/>
        <w:spacing w:before="20" w:after="20"/>
      </w:pPr>
      <w:r>
        <w:rPr>
          <w:rFonts w:ascii="Calibri" w:hAnsi="Calibri"/>
          <w:b/>
          <w:color w:val="444444"/>
          <w:sz w:val="22"/>
        </w:rPr>
        <w:t xml:space="preserve">Bug B  </w:t>
      </w:r>
      <w:r>
        <w:rPr>
          <w:rFonts w:ascii="Calibri" w:hAnsi="Calibri"/>
          <w:color w:val="444444"/>
          <w:sz w:val="22"/>
        </w:rPr>
        <w:t>The _to_float helper was not applied consistently to all value cells shown in the contribution breakdown, so Decimal values could slip through even after the primary fix.</w:t>
      </w:r>
    </w:p>
    <w:p>
      <w:pPr>
        <w:spacing w:before="240" w:after="40"/>
      </w:pPr>
      <w:r>
        <w:rPr>
          <w:rFonts w:ascii="Calibri" w:hAnsi="Calibri"/>
          <w:b/>
          <w:color w:val="028090"/>
          <w:sz w:val="24"/>
        </w:rPr>
        <w:t>5.2 Requirements</w:t>
      </w:r>
    </w:p>
    <w:p>
      <w:pPr>
        <w:pStyle w:val="ListBullet"/>
        <w:spacing w:before="20" w:after="20"/>
      </w:pPr>
      <w:r>
        <w:rPr>
          <w:rFonts w:ascii="Calibri" w:hAnsi="Calibri"/>
          <w:b/>
          <w:color w:val="444444"/>
          <w:sz w:val="22"/>
        </w:rPr>
        <w:t xml:space="preserve">R-004-1  </w:t>
      </w:r>
      <w:r>
        <w:rPr>
          <w:rFonts w:ascii="Calibri" w:hAnsi="Calibri"/>
          <w:color w:val="444444"/>
          <w:sz w:val="22"/>
        </w:rPr>
        <w:t>All numeric values in the % contribution response must be converted to float before JSON serialisation.</w:t>
      </w:r>
    </w:p>
    <w:p>
      <w:pPr>
        <w:pStyle w:val="ListBullet"/>
        <w:spacing w:before="20" w:after="20"/>
      </w:pPr>
      <w:r>
        <w:rPr>
          <w:rFonts w:ascii="Calibri" w:hAnsi="Calibri"/>
          <w:b/>
          <w:color w:val="444444"/>
          <w:sz w:val="22"/>
        </w:rPr>
        <w:t xml:space="preserve">R-004-2  </w:t>
      </w:r>
      <w:r>
        <w:rPr>
          <w:rFonts w:ascii="Calibri" w:hAnsi="Calibri"/>
          <w:color w:val="444444"/>
          <w:sz w:val="22"/>
        </w:rPr>
        <w:t>The _to_float conversion must apply to every cell in the contribution result, not only the primary metric column.</w:t>
      </w:r>
    </w:p>
    <w:p>
      <w:pPr>
        <w:pStyle w:val="ListBullet"/>
        <w:spacing w:before="20" w:after="20"/>
      </w:pPr>
      <w:r>
        <w:rPr>
          <w:rFonts w:ascii="Calibri" w:hAnsi="Calibri"/>
          <w:b/>
          <w:color w:val="444444"/>
          <w:sz w:val="22"/>
        </w:rPr>
        <w:t xml:space="preserve">R-004-3  </w:t>
      </w:r>
      <w:r>
        <w:rPr>
          <w:rFonts w:ascii="Calibri" w:hAnsi="Calibri"/>
          <w:color w:val="444444"/>
          <w:sz w:val="22"/>
        </w:rPr>
        <w:t>A 500 error from the contribution endpoint must surface a user-readable error message rather than leaving the spinner running.</w:t>
      </w:r>
    </w:p>
    <w:p>
      <w:pPr>
        <w:spacing w:before="240" w:after="40"/>
      </w:pPr>
      <w:r>
        <w:rPr>
          <w:rFonts w:ascii="Calibri" w:hAnsi="Calibri"/>
          <w:b/>
          <w:color w:val="028090"/>
          <w:sz w:val="24"/>
        </w:rPr>
        <w:t>5.3 Implementation Details</w:t>
      </w:r>
    </w:p>
    <w:tbl>
      <w:tblPr>
        <w:tblStyle w:val="TableGrid"/>
        <w:tblW w:type="auto" w:w="0"/>
        <w:tblLook w:firstColumn="1" w:firstRow="1" w:lastColumn="0" w:lastRow="0" w:noHBand="0" w:noVBand="1" w:val="04A0"/>
      </w:tblPr>
      <w:tblGrid>
        <w:gridCol w:w="4392"/>
        <w:gridCol w:w="4392"/>
      </w:tblGrid>
      <w:tr>
        <w:tc>
          <w:tcPr>
            <w:tcW w:type="dxa" w:w="2160"/>
            <w:shd w:val="clear" w:color="auto" w:fill="E8EDF5"/>
          </w:tcPr>
          <w:p>
            <w:r>
              <w:rPr>
                <w:rFonts w:ascii="Calibri" w:hAnsi="Calibri"/>
                <w:b/>
                <w:color w:val="1E2761"/>
                <w:sz w:val="20"/>
              </w:rPr>
              <w:t>Files changed</w:t>
            </w:r>
          </w:p>
        </w:tc>
        <w:tc>
          <w:tcPr>
            <w:tcW w:type="dxa" w:w="7200"/>
          </w:tcPr>
          <w:p>
            <w:r>
              <w:rPr>
                <w:rFonts w:ascii="Calibri" w:hAnsi="Calibri"/>
                <w:color w:val="444444"/>
                <w:sz w:val="20"/>
              </w:rPr>
              <w:t>core/result_renderer.py · portal/routes.py</w:t>
            </w:r>
          </w:p>
        </w:tc>
      </w:tr>
    </w:tbl>
    <w:p/>
    <w:p>
      <w:pPr>
        <w:spacing w:before="40" w:after="80"/>
      </w:pPr>
      <w:r>
        <w:rPr>
          <w:rFonts w:ascii="Calibri" w:hAnsi="Calibri"/>
          <w:color w:val="444444"/>
          <w:sz w:val="22"/>
        </w:rPr>
        <w:t>The _to_float helper (which calls float() on Decimal values and passes plain int/float through unchanged) was applied to all cell values in the contribution result set. Error handling was added to the portal route so that a backend exception during contribution calculation returns a 4xx JSON response with a user-readable message, allowing the frontend to dismiss the spinner and display the error.</w:t>
      </w:r>
    </w:p>
    <w:p>
      <w:r>
        <w:br w:type="page"/>
      </w:r>
    </w:p>
    <w:p>
      <w:pPr>
        <w:spacing w:before="360" w:after="80"/>
        <w:pBdr>
          <w:bottom w:val="single" w:sz="6" w:space="1" w:color="1E2761"/>
        </w:pBdr>
      </w:pPr>
      <w:r>
        <w:rPr>
          <w:rFonts w:ascii="Calibri" w:hAnsi="Calibri"/>
          <w:b/>
          <w:color w:val="1E2761"/>
          <w:sz w:val="32"/>
        </w:rPr>
        <w:t>6. REQ-005 — Question Tags (Semantic Layer Enhancement)</w:t>
      </w:r>
    </w:p>
    <w:tbl>
      <w:tblPr>
        <w:tblStyle w:val="TableGrid"/>
        <w:tblW w:type="auto" w:w="0"/>
        <w:tblLook w:firstColumn="1" w:firstRow="1" w:lastColumn="0" w:lastRow="0" w:noHBand="0" w:noVBand="1" w:val="04A0"/>
      </w:tblPr>
      <w:tblGrid>
        <w:gridCol w:w="8784"/>
      </w:tblGrid>
      <w:tr>
        <w:tc>
          <w:tcPr>
            <w:tcW w:type="dxa" w:w="2592"/>
            <w:shd w:val="clear" w:color="auto" w:fill="C55A11"/>
          </w:tcPr>
          <w:p>
            <w:pPr>
              <w:jc w:val="center"/>
            </w:pPr>
            <w:r>
              <w:rPr>
                <w:rFonts w:ascii="Calibri" w:hAnsi="Calibri"/>
                <w:b/>
                <w:color w:val="FFFFFF"/>
                <w:sz w:val="20"/>
              </w:rPr>
              <w:t xml:space="preserve">  PLANNED  </w:t>
            </w:r>
          </w:p>
        </w:tc>
      </w:tr>
    </w:tbl>
    <w:p/>
    <w:p>
      <w:pPr>
        <w:spacing w:before="240" w:after="40"/>
      </w:pPr>
      <w:r>
        <w:rPr>
          <w:rFonts w:ascii="Calibri" w:hAnsi="Calibri"/>
          <w:b/>
          <w:color w:val="028090"/>
          <w:sz w:val="24"/>
        </w:rPr>
        <w:t>6.1 Background</w:t>
      </w:r>
    </w:p>
    <w:p>
      <w:pPr>
        <w:spacing w:before="40" w:after="80"/>
      </w:pPr>
      <w:r>
        <w:rPr>
          <w:rFonts w:ascii="Calibri" w:hAnsi="Calibri"/>
          <w:color w:val="444444"/>
          <w:sz w:val="22"/>
        </w:rPr>
        <w:t>Business users refer to columns using natural language phrases that differ from both the SQL column name and existing synonym entries. For example, a user might type 'profit margin' when the column is named GROSS_MARGIN_PCT. The existing synonym mechanism maps column aliases to column names, but does not support free-text question fragments. Question tags fill this gap: an admin tags a column with phrases users are likely to type, and the LLM SQL prompt includes a mapping that resolves those phrases to the exact column name.</w:t>
      </w:r>
    </w:p>
    <w:p>
      <w:pPr>
        <w:spacing w:before="240" w:after="40"/>
      </w:pPr>
      <w:r>
        <w:rPr>
          <w:rFonts w:ascii="Calibri" w:hAnsi="Calibri"/>
          <w:b/>
          <w:color w:val="028090"/>
          <w:sz w:val="24"/>
        </w:rPr>
        <w:t>6.2 Concept</w:t>
      </w:r>
    </w:p>
    <w:p>
      <w:pPr>
        <w:spacing w:before="40" w:after="80"/>
      </w:pPr>
      <w:r>
        <w:rPr>
          <w:rFonts w:ascii="Calibri" w:hAnsi="Calibri"/>
          <w:color w:val="444444"/>
          <w:sz w:val="22"/>
        </w:rPr>
        <w:t>Question tags are NOT alternative column names (that is synonyms). They are natural language phrases that appear in user questions and should resolve to a specific column in generated SQL. The tag itself is never used in SQL — only the column it points to is used.</w:t>
      </w:r>
    </w:p>
    <w:tbl>
      <w:tblPr>
        <w:tblStyle w:val="TableGrid"/>
        <w:tblW w:type="auto" w:w="0"/>
        <w:tblLook w:firstColumn="1" w:firstRow="1" w:lastColumn="0" w:lastRow="0" w:noHBand="0" w:noVBand="1" w:val="04A0"/>
      </w:tblPr>
      <w:tblGrid>
        <w:gridCol w:w="4392"/>
        <w:gridCol w:w="4392"/>
      </w:tblGrid>
      <w:tr>
        <w:tc>
          <w:tcPr>
            <w:tcW w:type="dxa" w:w="2160"/>
            <w:shd w:val="clear" w:color="auto" w:fill="E8EDF5"/>
          </w:tcPr>
          <w:p>
            <w:r>
              <w:rPr>
                <w:rFonts w:ascii="Calibri" w:hAnsi="Calibri"/>
                <w:b/>
                <w:color w:val="1E2761"/>
                <w:sz w:val="20"/>
              </w:rPr>
              <w:t>Column</w:t>
            </w:r>
          </w:p>
        </w:tc>
        <w:tc>
          <w:tcPr>
            <w:tcW w:type="dxa" w:w="7200"/>
          </w:tcPr>
          <w:p>
            <w:r>
              <w:rPr>
                <w:rFonts w:ascii="Calibri" w:hAnsi="Calibri"/>
                <w:color w:val="444444"/>
                <w:sz w:val="20"/>
              </w:rPr>
              <w:t>GROSS_MARGIN_PCT</w:t>
            </w:r>
          </w:p>
        </w:tc>
      </w:tr>
      <w:tr>
        <w:tc>
          <w:tcPr>
            <w:tcW w:type="dxa" w:w="2160"/>
            <w:shd w:val="clear" w:color="auto" w:fill="E8EDF5"/>
          </w:tcPr>
          <w:p>
            <w:r>
              <w:rPr>
                <w:rFonts w:ascii="Calibri" w:hAnsi="Calibri"/>
                <w:b/>
                <w:color w:val="1E2761"/>
                <w:sz w:val="20"/>
              </w:rPr>
              <w:t>Synonym</w:t>
            </w:r>
          </w:p>
        </w:tc>
        <w:tc>
          <w:tcPr>
            <w:tcW w:type="dxa" w:w="7200"/>
          </w:tcPr>
          <w:p>
            <w:r>
              <w:rPr>
                <w:rFonts w:ascii="Calibri" w:hAnsi="Calibri"/>
                <w:color w:val="444444"/>
                <w:sz w:val="20"/>
              </w:rPr>
              <w:t>Gross Margin (existing feature)</w:t>
            </w:r>
          </w:p>
        </w:tc>
      </w:tr>
      <w:tr>
        <w:tc>
          <w:tcPr>
            <w:tcW w:type="dxa" w:w="2160"/>
            <w:shd w:val="clear" w:color="auto" w:fill="E8EDF5"/>
          </w:tcPr>
          <w:p>
            <w:r>
              <w:rPr>
                <w:rFonts w:ascii="Calibri" w:hAnsi="Calibri"/>
                <w:b/>
                <w:color w:val="1E2761"/>
                <w:sz w:val="20"/>
              </w:rPr>
              <w:t>Question Tags</w:t>
            </w:r>
          </w:p>
        </w:tc>
        <w:tc>
          <w:tcPr>
            <w:tcW w:type="dxa" w:w="7200"/>
          </w:tcPr>
          <w:p>
            <w:r>
              <w:rPr>
                <w:rFonts w:ascii="Calibri" w:hAnsi="Calibri"/>
                <w:color w:val="444444"/>
                <w:sz w:val="20"/>
              </w:rPr>
              <w:t>profit margin · margin percentage · how profitable</w:t>
            </w:r>
          </w:p>
        </w:tc>
      </w:tr>
      <w:tr>
        <w:tc>
          <w:tcPr>
            <w:tcW w:type="dxa" w:w="2160"/>
            <w:shd w:val="clear" w:color="auto" w:fill="E8EDF5"/>
          </w:tcPr>
          <w:p>
            <w:r>
              <w:rPr>
                <w:rFonts w:ascii="Calibri" w:hAnsi="Calibri"/>
                <w:b/>
                <w:color w:val="1E2761"/>
                <w:sz w:val="20"/>
              </w:rPr>
              <w:t>SQL output</w:t>
            </w:r>
          </w:p>
        </w:tc>
        <w:tc>
          <w:tcPr>
            <w:tcW w:type="dxa" w:w="7200"/>
          </w:tcPr>
          <w:p>
            <w:r>
              <w:rPr>
                <w:rFonts w:ascii="Calibri" w:hAnsi="Calibri"/>
                <w:color w:val="444444"/>
                <w:sz w:val="20"/>
              </w:rPr>
              <w:t>SELECT GROSS_MARGIN_PCT  -- never 'profit margin'</w:t>
            </w:r>
          </w:p>
        </w:tc>
      </w:tr>
    </w:tbl>
    <w:p/>
    <w:p>
      <w:pPr>
        <w:spacing w:before="240" w:after="40"/>
      </w:pPr>
      <w:r>
        <w:rPr>
          <w:rFonts w:ascii="Calibri" w:hAnsi="Calibri"/>
          <w:b/>
          <w:color w:val="028090"/>
          <w:sz w:val="24"/>
        </w:rPr>
        <w:t>6.3 Requirements</w:t>
      </w:r>
    </w:p>
    <w:p>
      <w:pPr>
        <w:pStyle w:val="ListBullet"/>
        <w:spacing w:before="20" w:after="20"/>
      </w:pPr>
      <w:r>
        <w:rPr>
          <w:rFonts w:ascii="Calibri" w:hAnsi="Calibri"/>
          <w:b/>
          <w:color w:val="444444"/>
          <w:sz w:val="22"/>
        </w:rPr>
        <w:t xml:space="preserve">R-005-1  </w:t>
      </w:r>
      <w:r>
        <w:rPr>
          <w:rFonts w:ascii="Calibri" w:hAnsi="Calibri"/>
          <w:color w:val="444444"/>
          <w:sz w:val="22"/>
        </w:rPr>
        <w:t>Admin must be able to add one or more question tags per column in the Admin KB editor.</w:t>
      </w:r>
    </w:p>
    <w:p>
      <w:pPr>
        <w:pStyle w:val="ListBullet"/>
        <w:spacing w:before="20" w:after="20"/>
      </w:pPr>
      <w:r>
        <w:rPr>
          <w:rFonts w:ascii="Calibri" w:hAnsi="Calibri"/>
          <w:b/>
          <w:color w:val="444444"/>
          <w:sz w:val="22"/>
        </w:rPr>
        <w:t xml:space="preserve">R-005-2  </w:t>
      </w:r>
      <w:r>
        <w:rPr>
          <w:rFonts w:ascii="Calibri" w:hAnsi="Calibri"/>
          <w:color w:val="444444"/>
          <w:sz w:val="22"/>
        </w:rPr>
        <w:t>Question tags must persist in the field_overrides.json file alongside synonyms and meaning.</w:t>
      </w:r>
    </w:p>
    <w:p>
      <w:pPr>
        <w:pStyle w:val="ListBullet"/>
        <w:spacing w:before="20" w:after="20"/>
      </w:pPr>
      <w:r>
        <w:rPr>
          <w:rFonts w:ascii="Calibri" w:hAnsi="Calibri"/>
          <w:b/>
          <w:color w:val="444444"/>
          <w:sz w:val="22"/>
        </w:rPr>
        <w:t xml:space="preserve">R-005-3  </w:t>
      </w:r>
      <w:r>
        <w:rPr>
          <w:rFonts w:ascii="Calibri" w:hAnsi="Calibri"/>
          <w:color w:val="444444"/>
          <w:sz w:val="22"/>
        </w:rPr>
        <w:t>Portal users must be able to suggest question tags for admin review via the semantic field feedback form.</w:t>
      </w:r>
    </w:p>
    <w:p>
      <w:pPr>
        <w:pStyle w:val="ListBullet"/>
        <w:spacing w:before="20" w:after="20"/>
      </w:pPr>
      <w:r>
        <w:rPr>
          <w:rFonts w:ascii="Calibri" w:hAnsi="Calibri"/>
          <w:b/>
          <w:color w:val="444444"/>
          <w:sz w:val="22"/>
        </w:rPr>
        <w:t xml:space="preserve">R-005-4  </w:t>
      </w:r>
      <w:r>
        <w:rPr>
          <w:rFonts w:ascii="Calibri" w:hAnsi="Calibri"/>
          <w:color w:val="444444"/>
          <w:sz w:val="22"/>
        </w:rPr>
        <w:t>Question tags must be injected into the LLM SQL system prompt using the existing COLUMN SYNONYM MAP format so no new prompt section is needed.</w:t>
      </w:r>
    </w:p>
    <w:p>
      <w:pPr>
        <w:pStyle w:val="ListBullet"/>
        <w:spacing w:before="20" w:after="20"/>
      </w:pPr>
      <w:r>
        <w:rPr>
          <w:rFonts w:ascii="Calibri" w:hAnsi="Calibri"/>
          <w:b/>
          <w:color w:val="444444"/>
          <w:sz w:val="22"/>
        </w:rPr>
        <w:t xml:space="preserve">R-005-5  </w:t>
      </w:r>
      <w:r>
        <w:rPr>
          <w:rFonts w:ascii="Calibri" w:hAnsi="Calibri"/>
          <w:color w:val="444444"/>
          <w:sz w:val="22"/>
        </w:rPr>
        <w:t>The tag injection must be built from stored field_overrides data, not from raw KB markdown.</w:t>
      </w:r>
    </w:p>
    <w:p>
      <w:pPr>
        <w:pStyle w:val="ListBullet"/>
        <w:spacing w:before="20" w:after="20"/>
      </w:pPr>
      <w:r>
        <w:rPr>
          <w:rFonts w:ascii="Calibri" w:hAnsi="Calibri"/>
          <w:b/>
          <w:color w:val="444444"/>
          <w:sz w:val="22"/>
        </w:rPr>
        <w:t xml:space="preserve">R-005-6  </w:t>
      </w:r>
      <w:r>
        <w:rPr>
          <w:rFonts w:ascii="Calibri" w:hAnsi="Calibri"/>
          <w:color w:val="444444"/>
          <w:sz w:val="22"/>
        </w:rPr>
        <w:t>Empty tag fields must not overwrite previously saved tags.</w:t>
      </w:r>
    </w:p>
    <w:p>
      <w:pPr>
        <w:spacing w:before="240" w:after="40"/>
      </w:pPr>
      <w:r>
        <w:rPr>
          <w:rFonts w:ascii="Calibri" w:hAnsi="Calibri"/>
          <w:b/>
          <w:color w:val="028090"/>
          <w:sz w:val="24"/>
        </w:rPr>
        <w:t>6.4 Five-Phase Implementation Plan</w:t>
      </w:r>
    </w:p>
    <w:p>
      <w:pPr>
        <w:spacing w:before="200" w:after="40"/>
      </w:pPr>
      <w:r>
        <w:rPr>
          <w:rFonts w:ascii="Calibri" w:hAnsi="Calibri"/>
          <w:b/>
          <w:color w:val="1E2761"/>
          <w:sz w:val="22"/>
        </w:rPr>
        <w:t>Phase 1: Data Layer</w:t>
      </w:r>
    </w:p>
    <w:p>
      <w:pPr>
        <w:spacing w:before="40" w:after="80"/>
        <w:ind w:left="360"/>
      </w:pPr>
      <w:r>
        <w:rPr>
          <w:rFonts w:ascii="Calibri" w:hAnsi="Calibri"/>
          <w:color w:val="444444"/>
          <w:sz w:val="22"/>
        </w:rPr>
        <w:t>Files: core/field_overrides.py · store/db.py</w:t>
      </w:r>
    </w:p>
    <w:p>
      <w:pPr>
        <w:pStyle w:val="ListBullet"/>
        <w:spacing w:before="20" w:after="20"/>
      </w:pPr>
      <w:r>
        <w:rPr>
          <w:rFonts w:ascii="Calibri" w:hAnsi="Calibri"/>
          <w:color w:val="444444"/>
          <w:sz w:val="22"/>
        </w:rPr>
        <w:t>Add question_tags: list[str] parameter to save_field_override() in core/field_overrides.py — stored as a new key in the per-column JSON object.</w:t>
      </w:r>
    </w:p>
    <w:p>
      <w:pPr>
        <w:pStyle w:val="ListBullet"/>
        <w:spacing w:before="20" w:after="20"/>
      </w:pPr>
      <w:r>
        <w:rPr>
          <w:rFonts w:ascii="Calibri" w:hAnsi="Calibri"/>
          <w:color w:val="444444"/>
          <w:sz w:val="22"/>
        </w:rPr>
        <w:t>Add suggested_tags TEXT column to semantic_field_feedback SQLite table in store/db.py via migration helper.</w:t>
      </w:r>
    </w:p>
    <w:p>
      <w:pPr>
        <w:pStyle w:val="ListBullet"/>
        <w:spacing w:before="20" w:after="20"/>
      </w:pPr>
      <w:r>
        <w:rPr>
          <w:rFonts w:ascii="Calibri" w:hAnsi="Calibri"/>
          <w:color w:val="444444"/>
          <w:sz w:val="22"/>
        </w:rPr>
        <w:t>Update load_field_overrides() to return question_tags as empty list if key absent (backwards-compatible).</w:t>
      </w:r>
    </w:p>
    <w:p/>
    <w:p>
      <w:pPr>
        <w:spacing w:before="200" w:after="40"/>
      </w:pPr>
      <w:r>
        <w:rPr>
          <w:rFonts w:ascii="Calibri" w:hAnsi="Calibri"/>
          <w:b/>
          <w:color w:val="1E2761"/>
          <w:sz w:val="22"/>
        </w:rPr>
        <w:t>Phase 2: LLM Prompt Injection</w:t>
      </w:r>
    </w:p>
    <w:p>
      <w:pPr>
        <w:spacing w:before="40" w:after="80"/>
        <w:ind w:left="360"/>
      </w:pPr>
      <w:r>
        <w:rPr>
          <w:rFonts w:ascii="Calibri" w:hAnsi="Calibri"/>
          <w:color w:val="444444"/>
          <w:sz w:val="22"/>
        </w:rPr>
        <w:t>Files: core/pipeline_helpers.py · core/query_pipeline.py</w:t>
      </w:r>
    </w:p>
    <w:p>
      <w:pPr>
        <w:pStyle w:val="ListBullet"/>
        <w:spacing w:before="20" w:after="20"/>
      </w:pPr>
      <w:r>
        <w:rPr>
          <w:rFonts w:ascii="Calibri" w:hAnsi="Calibri"/>
          <w:color w:val="444444"/>
          <w:sz w:val="22"/>
        </w:rPr>
        <w:t>Add build_question_tag_injection(account_id) function in core/pipeline_helpers.py.</w:t>
      </w:r>
    </w:p>
    <w:p>
      <w:pPr>
        <w:pStyle w:val="ListBullet"/>
        <w:spacing w:before="20" w:after="20"/>
      </w:pPr>
      <w:r>
        <w:rPr>
          <w:rFonts w:ascii="Calibri" w:hAnsi="Calibri"/>
          <w:color w:val="444444"/>
          <w:sz w:val="22"/>
        </w:rPr>
        <w:t>Function iterates field_overrides, collects all question tags, and formats them as 'tag phrase' → exact column: COL_NAME entries — same format as COLUMN SYNONYM MAP.</w:t>
      </w:r>
    </w:p>
    <w:p>
      <w:pPr>
        <w:pStyle w:val="ListBullet"/>
        <w:spacing w:before="20" w:after="20"/>
      </w:pPr>
      <w:r>
        <w:rPr>
          <w:rFonts w:ascii="Calibri" w:hAnsi="Calibri"/>
          <w:color w:val="444444"/>
          <w:sz w:val="22"/>
        </w:rPr>
        <w:t>Append output to the existing synonym map injection block so a single map covers both synonyms and question tags.</w:t>
      </w:r>
    </w:p>
    <w:p>
      <w:pPr>
        <w:pStyle w:val="ListBullet"/>
        <w:spacing w:before="20" w:after="20"/>
      </w:pPr>
      <w:r>
        <w:rPr>
          <w:rFonts w:ascii="Calibri" w:hAnsi="Calibri"/>
          <w:color w:val="444444"/>
          <w:sz w:val="22"/>
        </w:rPr>
        <w:t>Call build_question_tag_injection() at line ~575 of core/query_pipeline.py alongside the existing synonym injection call.</w:t>
      </w:r>
    </w:p>
    <w:p/>
    <w:p>
      <w:pPr>
        <w:spacing w:before="200" w:after="40"/>
      </w:pPr>
      <w:r>
        <w:rPr>
          <w:rFonts w:ascii="Calibri" w:hAnsi="Calibri"/>
          <w:b/>
          <w:color w:val="1E2761"/>
          <w:sz w:val="22"/>
        </w:rPr>
        <w:t>Phase 3: Admin Save Handler</w:t>
      </w:r>
    </w:p>
    <w:p>
      <w:pPr>
        <w:spacing w:before="40" w:after="80"/>
        <w:ind w:left="360"/>
      </w:pPr>
      <w:r>
        <w:rPr>
          <w:rFonts w:ascii="Calibri" w:hAnsi="Calibri"/>
          <w:color w:val="444444"/>
          <w:sz w:val="22"/>
        </w:rPr>
        <w:t>Files: admin/routes.py</w:t>
      </w:r>
    </w:p>
    <w:p>
      <w:pPr>
        <w:pStyle w:val="ListBullet"/>
        <w:spacing w:before="20" w:after="20"/>
      </w:pPr>
      <w:r>
        <w:rPr>
          <w:rFonts w:ascii="Calibri" w:hAnsi="Calibri"/>
          <w:color w:val="444444"/>
          <w:sz w:val="22"/>
        </w:rPr>
        <w:t>Modify kb_field_save() to accept question_tags: str = Form("").</w:t>
      </w:r>
    </w:p>
    <w:p>
      <w:pPr>
        <w:pStyle w:val="ListBullet"/>
        <w:spacing w:before="20" w:after="20"/>
      </w:pPr>
      <w:r>
        <w:rPr>
          <w:rFonts w:ascii="Calibri" w:hAnsi="Calibri"/>
          <w:color w:val="444444"/>
          <w:sz w:val="22"/>
        </w:rPr>
        <w:t>Parse the comma/newline-separated tag string into a list and pass to save_field_override().</w:t>
      </w:r>
    </w:p>
    <w:p/>
    <w:p>
      <w:pPr>
        <w:spacing w:before="200" w:after="40"/>
      </w:pPr>
      <w:r>
        <w:rPr>
          <w:rFonts w:ascii="Calibri" w:hAnsi="Calibri"/>
          <w:b/>
          <w:color w:val="1E2761"/>
          <w:sz w:val="22"/>
        </w:rPr>
        <w:t>Phase 4: Admin KB Editor UI</w:t>
      </w:r>
    </w:p>
    <w:p>
      <w:pPr>
        <w:spacing w:before="40" w:after="80"/>
        <w:ind w:left="360"/>
      </w:pPr>
      <w:r>
        <w:rPr>
          <w:rFonts w:ascii="Calibri" w:hAnsi="Calibri"/>
          <w:color w:val="444444"/>
          <w:sz w:val="22"/>
        </w:rPr>
        <w:t>Files: admin/templates/macros.html</w:t>
      </w:r>
    </w:p>
    <w:p>
      <w:pPr>
        <w:pStyle w:val="ListBullet"/>
        <w:spacing w:before="20" w:after="20"/>
      </w:pPr>
      <w:r>
        <w:rPr>
          <w:rFonts w:ascii="Calibri" w:hAnsi="Calibri"/>
          <w:color w:val="444444"/>
          <w:sz w:val="22"/>
        </w:rPr>
        <w:t>Add a chip-style tag input field below the Synonyms field in the KB column editor macro.</w:t>
      </w:r>
    </w:p>
    <w:p>
      <w:pPr>
        <w:pStyle w:val="ListBullet"/>
        <w:spacing w:before="20" w:after="20"/>
      </w:pPr>
      <w:r>
        <w:rPr>
          <w:rFonts w:ascii="Calibri" w:hAnsi="Calibri"/>
          <w:color w:val="444444"/>
          <w:sz w:val="22"/>
        </w:rPr>
        <w:t>Pre-populate chips from saved question_tags list on load.</w:t>
      </w:r>
    </w:p>
    <w:p>
      <w:pPr>
        <w:pStyle w:val="ListBullet"/>
        <w:spacing w:before="20" w:after="20"/>
      </w:pPr>
      <w:r>
        <w:rPr>
          <w:rFonts w:ascii="Calibri" w:hAnsi="Calibri"/>
          <w:color w:val="444444"/>
          <w:sz w:val="22"/>
        </w:rPr>
        <w:t>Tags rendered as removable chips; new tags added via Enter or comma.</w:t>
      </w:r>
    </w:p>
    <w:p>
      <w:pPr>
        <w:pStyle w:val="ListBullet"/>
        <w:spacing w:before="20" w:after="20"/>
      </w:pPr>
      <w:r>
        <w:rPr>
          <w:rFonts w:ascii="Calibri" w:hAnsi="Calibri"/>
          <w:color w:val="444444"/>
          <w:sz w:val="22"/>
        </w:rPr>
        <w:t>Hidden textarea serialises chips to comma-separated string for form POST.</w:t>
      </w:r>
    </w:p>
    <w:p/>
    <w:p>
      <w:pPr>
        <w:spacing w:before="200" w:after="40"/>
      </w:pPr>
      <w:r>
        <w:rPr>
          <w:rFonts w:ascii="Calibri" w:hAnsi="Calibri"/>
          <w:b/>
          <w:color w:val="1E2761"/>
          <w:sz w:val="22"/>
        </w:rPr>
        <w:t>Phase 5: Portal User Suggestion UI</w:t>
      </w:r>
    </w:p>
    <w:p>
      <w:pPr>
        <w:spacing w:before="40" w:after="80"/>
        <w:ind w:left="360"/>
      </w:pPr>
      <w:r>
        <w:rPr>
          <w:rFonts w:ascii="Calibri" w:hAnsi="Calibri"/>
          <w:color w:val="444444"/>
          <w:sz w:val="22"/>
        </w:rPr>
        <w:t>Files: portal/routes.py · portal templates</w:t>
      </w:r>
    </w:p>
    <w:p>
      <w:pPr>
        <w:pStyle w:val="ListBullet"/>
        <w:spacing w:before="20" w:after="20"/>
      </w:pPr>
      <w:r>
        <w:rPr>
          <w:rFonts w:ascii="Calibri" w:hAnsi="Calibri"/>
          <w:color w:val="444444"/>
          <w:sz w:val="22"/>
        </w:rPr>
        <w:t>Extend the semantic field feedback form with a 'Suggested question tags' textarea.</w:t>
      </w:r>
    </w:p>
    <w:p>
      <w:pPr>
        <w:pStyle w:val="ListBullet"/>
        <w:spacing w:before="20" w:after="20"/>
      </w:pPr>
      <w:r>
        <w:rPr>
          <w:rFonts w:ascii="Calibri" w:hAnsi="Calibri"/>
          <w:color w:val="444444"/>
          <w:sz w:val="22"/>
        </w:rPr>
        <w:t>Save user-provided tags to suggested_tags column in semantic_field_feedback table.</w:t>
      </w:r>
    </w:p>
    <w:p>
      <w:pPr>
        <w:pStyle w:val="ListBullet"/>
        <w:spacing w:before="20" w:after="20"/>
      </w:pPr>
      <w:r>
        <w:rPr>
          <w:rFonts w:ascii="Calibri" w:hAnsi="Calibri"/>
          <w:color w:val="444444"/>
          <w:sz w:val="22"/>
        </w:rPr>
        <w:t>Surface pending suggested tags in the Admin KB pending review panel for approve/reject workflow.</w:t>
      </w:r>
    </w:p>
    <w:p/>
    <w:p>
      <w:pPr>
        <w:spacing w:before="240" w:after="40"/>
      </w:pPr>
      <w:r>
        <w:rPr>
          <w:rFonts w:ascii="Calibri" w:hAnsi="Calibri"/>
          <w:b/>
          <w:color w:val="028090"/>
          <w:sz w:val="24"/>
        </w:rPr>
        <w:t>6.5 Backward Compatibility</w:t>
      </w:r>
    </w:p>
    <w:p>
      <w:pPr>
        <w:spacing w:before="40" w:after="80"/>
      </w:pPr>
      <w:r>
        <w:rPr>
          <w:rFonts w:ascii="Calibri" w:hAnsi="Calibri"/>
          <w:color w:val="444444"/>
          <w:sz w:val="22"/>
        </w:rPr>
        <w:t>All changes are additive. Existing field_overrides.json files without a question_tags key will continue to work — the key defaults to an empty list. No database migration is required for column metadata. The SQLite migration for semantic_field_feedback is applied lazily using ALTER TABLE IF NOT EXISTS.</w:t>
      </w:r>
    </w:p>
    <w:p>
      <w:r>
        <w:br w:type="page"/>
      </w:r>
    </w:p>
    <w:p>
      <w:pPr>
        <w:spacing w:before="360" w:after="80"/>
        <w:pBdr>
          <w:bottom w:val="single" w:sz="6" w:space="1" w:color="1E2761"/>
        </w:pBdr>
      </w:pPr>
      <w:r>
        <w:rPr>
          <w:rFonts w:ascii="Calibri" w:hAnsi="Calibri"/>
          <w:b/>
          <w:color w:val="1E2761"/>
          <w:sz w:val="32"/>
        </w:rPr>
        <w:t>7. Open Items &amp; Dependencies</w:t>
      </w:r>
    </w:p>
    <w:tbl>
      <w:tblPr>
        <w:tblStyle w:val="TableGrid"/>
        <w:tblW w:type="auto" w:w="0"/>
        <w:tblLook w:firstColumn="1" w:firstRow="1" w:lastColumn="0" w:lastRow="0" w:noHBand="0" w:noVBand="1" w:val="04A0"/>
      </w:tblPr>
      <w:tblGrid>
        <w:gridCol w:w="2196"/>
        <w:gridCol w:w="2196"/>
        <w:gridCol w:w="2196"/>
        <w:gridCol w:w="2196"/>
      </w:tblGrid>
      <w:tr>
        <w:tc>
          <w:tcPr>
            <w:tcW w:type="dxa" w:w="576"/>
            <w:shd w:val="clear" w:color="auto" w:fill="1E2761"/>
          </w:tcPr>
          <w:p>
            <w:pPr>
              <w:jc w:val="center"/>
            </w:pPr>
            <w:r>
              <w:rPr>
                <w:rFonts w:ascii="Calibri" w:hAnsi="Calibri"/>
                <w:b/>
                <w:color w:val="FFFFFF"/>
                <w:sz w:val="20"/>
              </w:rPr>
              <w:t>#</w:t>
            </w:r>
          </w:p>
        </w:tc>
        <w:tc>
          <w:tcPr>
            <w:tcW w:type="dxa" w:w="6480"/>
            <w:shd w:val="clear" w:color="auto" w:fill="1E2761"/>
          </w:tcPr>
          <w:p>
            <w:pPr>
              <w:jc w:val="center"/>
            </w:pPr>
            <w:r>
              <w:rPr>
                <w:rFonts w:ascii="Calibri" w:hAnsi="Calibri"/>
                <w:b/>
                <w:color w:val="FFFFFF"/>
                <w:sz w:val="20"/>
              </w:rPr>
              <w:t>Item</w:t>
            </w:r>
          </w:p>
        </w:tc>
        <w:tc>
          <w:tcPr>
            <w:tcW w:type="dxa" w:w="1872"/>
            <w:shd w:val="clear" w:color="auto" w:fill="1E2761"/>
          </w:tcPr>
          <w:p>
            <w:pPr>
              <w:jc w:val="center"/>
            </w:pPr>
            <w:r>
              <w:rPr>
                <w:rFonts w:ascii="Calibri" w:hAnsi="Calibri"/>
                <w:b/>
                <w:color w:val="FFFFFF"/>
                <w:sz w:val="20"/>
              </w:rPr>
              <w:t>Owner</w:t>
            </w:r>
          </w:p>
        </w:tc>
        <w:tc>
          <w:tcPr>
            <w:tcW w:type="dxa" w:w="1728"/>
            <w:shd w:val="clear" w:color="auto" w:fill="1E2761"/>
          </w:tcPr>
          <w:p>
            <w:pPr>
              <w:jc w:val="center"/>
            </w:pPr>
            <w:r>
              <w:rPr>
                <w:rFonts w:ascii="Calibri" w:hAnsi="Calibri"/>
                <w:b/>
                <w:color w:val="FFFFFF"/>
                <w:sz w:val="20"/>
              </w:rPr>
              <w:t>Status</w:t>
            </w:r>
          </w:p>
        </w:tc>
      </w:tr>
      <w:tr>
        <w:tc>
          <w:tcPr>
            <w:tcW w:type="dxa" w:w="576"/>
          </w:tcPr>
          <w:p>
            <w:r>
              <w:rPr>
                <w:rFonts w:ascii="Calibri" w:hAnsi="Calibri"/>
                <w:b/>
                <w:color w:val="1E2761"/>
                <w:sz w:val="20"/>
              </w:rPr>
              <w:t>1</w:t>
            </w:r>
          </w:p>
        </w:tc>
        <w:tc>
          <w:tcPr>
            <w:tcW w:type="dxa" w:w="6480"/>
          </w:tcPr>
          <w:p>
            <w:r>
              <w:rPr>
                <w:rFonts w:ascii="Calibri" w:hAnsi="Calibri"/>
                <w:color w:val="444444"/>
                <w:sz w:val="20"/>
              </w:rPr>
              <w:t>Deploy a GPT model inside the qbot-poc-openai Azure OpenAI resource. Until a model is deployed the resource returns 404 on all API calls and KB generation will fail.</w:t>
            </w:r>
          </w:p>
        </w:tc>
        <w:tc>
          <w:tcPr>
            <w:tcW w:type="dxa" w:w="1872"/>
          </w:tcPr>
          <w:p>
            <w:r>
              <w:rPr>
                <w:rFonts w:ascii="Calibri" w:hAnsi="Calibri"/>
                <w:color w:val="444444"/>
                <w:sz w:val="20"/>
              </w:rPr>
              <w:t>Azure Admin</w:t>
            </w:r>
          </w:p>
        </w:tc>
        <w:tc>
          <w:tcPr>
            <w:tcW w:type="dxa" w:w="1728"/>
          </w:tcPr>
          <w:p>
            <w:r>
              <w:rPr>
                <w:rFonts w:ascii="Calibri" w:hAnsi="Calibri"/>
                <w:color w:val="444444"/>
                <w:sz w:val="20"/>
              </w:rPr>
              <w:t>Blocked — Azure</w:t>
            </w:r>
          </w:p>
        </w:tc>
      </w:tr>
      <w:tr>
        <w:tc>
          <w:tcPr>
            <w:tcW w:type="dxa" w:w="576"/>
            <w:shd w:val="clear" w:color="auto" w:fill="EEF2FB"/>
          </w:tcPr>
          <w:p>
            <w:r>
              <w:rPr>
                <w:rFonts w:ascii="Calibri" w:hAnsi="Calibri"/>
                <w:b/>
                <w:color w:val="1E2761"/>
                <w:sz w:val="20"/>
              </w:rPr>
              <w:t>2</w:t>
            </w:r>
          </w:p>
        </w:tc>
        <w:tc>
          <w:tcPr>
            <w:tcW w:type="dxa" w:w="6480"/>
            <w:shd w:val="clear" w:color="auto" w:fill="EEF2FB"/>
          </w:tcPr>
          <w:p>
            <w:r>
              <w:rPr>
                <w:rFonts w:ascii="Calibri" w:hAnsi="Calibri"/>
                <w:color w:val="444444"/>
                <w:sz w:val="20"/>
              </w:rPr>
              <w:t>Implement Question Tags feature (REQ-005) — Phases 1–5 detailed in §6.</w:t>
            </w:r>
          </w:p>
        </w:tc>
        <w:tc>
          <w:tcPr>
            <w:tcW w:type="dxa" w:w="1872"/>
            <w:shd w:val="clear" w:color="auto" w:fill="EEF2FB"/>
          </w:tcPr>
          <w:p>
            <w:r>
              <w:rPr>
                <w:rFonts w:ascii="Calibri" w:hAnsi="Calibri"/>
                <w:color w:val="444444"/>
                <w:sz w:val="20"/>
              </w:rPr>
              <w:t>Engineering</w:t>
            </w:r>
          </w:p>
        </w:tc>
        <w:tc>
          <w:tcPr>
            <w:tcW w:type="dxa" w:w="1728"/>
            <w:shd w:val="clear" w:color="auto" w:fill="EEF2FB"/>
          </w:tcPr>
          <w:p>
            <w:r>
              <w:rPr>
                <w:rFonts w:ascii="Calibri" w:hAnsi="Calibri"/>
                <w:color w:val="444444"/>
                <w:sz w:val="20"/>
              </w:rPr>
              <w:t>Not started</w:t>
            </w:r>
          </w:p>
        </w:tc>
      </w:tr>
      <w:tr>
        <w:tc>
          <w:tcPr>
            <w:tcW w:type="dxa" w:w="576"/>
          </w:tcPr>
          <w:p>
            <w:r>
              <w:rPr>
                <w:rFonts w:ascii="Calibri" w:hAnsi="Calibri"/>
                <w:b/>
                <w:color w:val="1E2761"/>
                <w:sz w:val="20"/>
              </w:rPr>
              <w:t>3</w:t>
            </w:r>
          </w:p>
        </w:tc>
        <w:tc>
          <w:tcPr>
            <w:tcW w:type="dxa" w:w="6480"/>
          </w:tcPr>
          <w:p>
            <w:r>
              <w:rPr>
                <w:rFonts w:ascii="Calibri" w:hAnsi="Calibri"/>
                <w:color w:val="444444"/>
                <w:sz w:val="20"/>
              </w:rPr>
              <w:t>Azure AI Services (*.cognitiveservices.azure.com) deployment auto-fetch — requires Azure Resource Manager API with Azure AD auth. Admin must enter deployment name manually for this endpoint type.</w:t>
            </w:r>
          </w:p>
        </w:tc>
        <w:tc>
          <w:tcPr>
            <w:tcW w:type="dxa" w:w="1872"/>
          </w:tcPr>
          <w:p>
            <w:r>
              <w:rPr>
                <w:rFonts w:ascii="Calibri" w:hAnsi="Calibri"/>
                <w:color w:val="444444"/>
                <w:sz w:val="20"/>
              </w:rPr>
              <w:t>Engineering</w:t>
            </w:r>
          </w:p>
        </w:tc>
        <w:tc>
          <w:tcPr>
            <w:tcW w:type="dxa" w:w="1728"/>
          </w:tcPr>
          <w:p>
            <w:r>
              <w:rPr>
                <w:rFonts w:ascii="Calibri" w:hAnsi="Calibri"/>
                <w:color w:val="444444"/>
                <w:sz w:val="20"/>
              </w:rPr>
              <w:t>Deferred</w:t>
            </w:r>
          </w:p>
        </w:tc>
      </w:tr>
    </w:tbl>
    <w:p/>
    <w:p>
      <w:pPr>
        <w:spacing w:before="360" w:after="80"/>
        <w:pBdr>
          <w:bottom w:val="single" w:sz="6" w:space="1" w:color="1E2761"/>
        </w:pBdr>
      </w:pPr>
      <w:r>
        <w:rPr>
          <w:rFonts w:ascii="Calibri" w:hAnsi="Calibri"/>
          <w:b/>
          <w:color w:val="1E2761"/>
          <w:sz w:val="32"/>
        </w:rPr>
        <w:t>8. Commit Change Log</w:t>
      </w:r>
    </w:p>
    <w:tbl>
      <w:tblPr>
        <w:tblStyle w:val="TableGrid"/>
        <w:tblW w:type="auto" w:w="0"/>
        <w:tblLook w:firstColumn="1" w:firstRow="1" w:lastColumn="0" w:lastRow="0" w:noHBand="0" w:noVBand="1" w:val="04A0"/>
      </w:tblPr>
      <w:tblGrid>
        <w:gridCol w:w="2928"/>
        <w:gridCol w:w="2928"/>
        <w:gridCol w:w="2928"/>
      </w:tblGrid>
      <w:tr>
        <w:tc>
          <w:tcPr>
            <w:tcW w:type="dxa" w:w="1440"/>
            <w:shd w:val="clear" w:color="auto" w:fill="1E2761"/>
          </w:tcPr>
          <w:p>
            <w:r>
              <w:rPr>
                <w:rFonts w:ascii="Calibri" w:hAnsi="Calibri"/>
                <w:b/>
                <w:color w:val="FFFFFF"/>
                <w:sz w:val="20"/>
              </w:rPr>
              <w:t>Commit</w:t>
            </w:r>
          </w:p>
        </w:tc>
        <w:tc>
          <w:tcPr>
            <w:tcW w:type="dxa" w:w="1152"/>
            <w:shd w:val="clear" w:color="auto" w:fill="1E2761"/>
          </w:tcPr>
          <w:p>
            <w:r>
              <w:rPr>
                <w:rFonts w:ascii="Calibri" w:hAnsi="Calibri"/>
                <w:b/>
                <w:color w:val="FFFFFF"/>
                <w:sz w:val="20"/>
              </w:rPr>
              <w:t>Type</w:t>
            </w:r>
          </w:p>
        </w:tc>
        <w:tc>
          <w:tcPr>
            <w:tcW w:type="dxa" w:w="7776"/>
            <w:shd w:val="clear" w:color="auto" w:fill="1E2761"/>
          </w:tcPr>
          <w:p>
            <w:r>
              <w:rPr>
                <w:rFonts w:ascii="Calibri" w:hAnsi="Calibri"/>
                <w:b/>
                <w:color w:val="FFFFFF"/>
                <w:sz w:val="20"/>
              </w:rPr>
              <w:t>Message</w:t>
            </w:r>
          </w:p>
        </w:tc>
      </w:tr>
      <w:tr>
        <w:tc>
          <w:tcPr>
            <w:tcW w:type="dxa" w:w="1440"/>
          </w:tcPr>
          <w:p>
            <w:r>
              <w:rPr>
                <w:rFonts w:ascii="Courier New" w:hAnsi="Courier New"/>
                <w:color w:val="1E2761"/>
                <w:sz w:val="20"/>
              </w:rPr>
              <w:t>3835bdd</w:t>
            </w:r>
          </w:p>
        </w:tc>
        <w:tc>
          <w:tcPr>
            <w:tcW w:type="dxa" w:w="1152"/>
          </w:tcPr>
          <w:p>
            <w:r>
              <w:rPr>
                <w:rFonts w:ascii="Calibri" w:hAnsi="Calibri"/>
                <w:b/>
                <w:color w:val="005A9E"/>
                <w:sz w:val="20"/>
              </w:rPr>
              <w:t>feat</w:t>
            </w:r>
          </w:p>
        </w:tc>
        <w:tc>
          <w:tcPr>
            <w:tcW w:type="dxa" w:w="7776"/>
          </w:tcPr>
          <w:p>
            <w:r>
              <w:rPr>
                <w:rFonts w:ascii="Calibri" w:hAnsi="Calibri"/>
                <w:color w:val="444444"/>
                <w:sz w:val="20"/>
              </w:rPr>
              <w:t>Add Azure OpenAI free-text deployment name fields in Admin System</w:t>
            </w:r>
          </w:p>
        </w:tc>
      </w:tr>
      <w:tr>
        <w:tc>
          <w:tcPr>
            <w:tcW w:type="dxa" w:w="1440"/>
            <w:shd w:val="clear" w:color="auto" w:fill="EEF2FB"/>
          </w:tcPr>
          <w:p>
            <w:r>
              <w:rPr>
                <w:rFonts w:ascii="Courier New" w:hAnsi="Courier New"/>
                <w:color w:val="1E2761"/>
                <w:sz w:val="20"/>
              </w:rPr>
              <w:t>298fbf8</w:t>
            </w:r>
          </w:p>
        </w:tc>
        <w:tc>
          <w:tcPr>
            <w:tcW w:type="dxa" w:w="1152"/>
            <w:shd w:val="clear" w:color="auto" w:fill="EEF2FB"/>
          </w:tcPr>
          <w:p>
            <w:r>
              <w:rPr>
                <w:rFonts w:ascii="Calibri" w:hAnsi="Calibri"/>
                <w:b/>
                <w:color w:val="C55A11"/>
                <w:sz w:val="20"/>
              </w:rPr>
              <w:t>fix</w:t>
            </w:r>
          </w:p>
        </w:tc>
        <w:tc>
          <w:tcPr>
            <w:tcW w:type="dxa" w:w="7776"/>
            <w:shd w:val="clear" w:color="auto" w:fill="EEF2FB"/>
          </w:tcPr>
          <w:p>
            <w:r>
              <w:rPr>
                <w:rFonts w:ascii="Calibri" w:hAnsi="Calibri"/>
                <w:color w:val="444444"/>
                <w:sz w:val="20"/>
              </w:rPr>
              <w:t>Add azure deployment name keys to SYSTEM_KEYS allowlist</w:t>
            </w:r>
          </w:p>
        </w:tc>
      </w:tr>
      <w:tr>
        <w:tc>
          <w:tcPr>
            <w:tcW w:type="dxa" w:w="1440"/>
          </w:tcPr>
          <w:p>
            <w:r>
              <w:rPr>
                <w:rFonts w:ascii="Courier New" w:hAnsi="Courier New"/>
                <w:color w:val="1E2761"/>
                <w:sz w:val="20"/>
              </w:rPr>
              <w:t>08e83ec</w:t>
            </w:r>
          </w:p>
        </w:tc>
        <w:tc>
          <w:tcPr>
            <w:tcW w:type="dxa" w:w="1152"/>
          </w:tcPr>
          <w:p>
            <w:r>
              <w:rPr>
                <w:rFonts w:ascii="Calibri" w:hAnsi="Calibri"/>
                <w:b/>
                <w:color w:val="005A9E"/>
                <w:sz w:val="20"/>
              </w:rPr>
              <w:t>feat</w:t>
            </w:r>
          </w:p>
        </w:tc>
        <w:tc>
          <w:tcPr>
            <w:tcW w:type="dxa" w:w="7776"/>
          </w:tcPr>
          <w:p>
            <w:r>
              <w:rPr>
                <w:rFonts w:ascii="Calibri" w:hAnsi="Calibri"/>
                <w:color w:val="444444"/>
                <w:sz w:val="20"/>
              </w:rPr>
              <w:t>Azure OpenAI deployment auto-fetch with redesigned System UI</w:t>
            </w:r>
          </w:p>
        </w:tc>
      </w:tr>
      <w:tr>
        <w:tc>
          <w:tcPr>
            <w:tcW w:type="dxa" w:w="1440"/>
            <w:shd w:val="clear" w:color="auto" w:fill="EEF2FB"/>
          </w:tcPr>
          <w:p>
            <w:r>
              <w:rPr>
                <w:rFonts w:ascii="Courier New" w:hAnsi="Courier New"/>
                <w:color w:val="1E2761"/>
                <w:sz w:val="20"/>
              </w:rPr>
              <w:t>39f5d63</w:t>
            </w:r>
          </w:p>
        </w:tc>
        <w:tc>
          <w:tcPr>
            <w:tcW w:type="dxa" w:w="1152"/>
            <w:shd w:val="clear" w:color="auto" w:fill="EEF2FB"/>
          </w:tcPr>
          <w:p>
            <w:r>
              <w:rPr>
                <w:rFonts w:ascii="Calibri" w:hAnsi="Calibri"/>
                <w:b/>
                <w:color w:val="C55A11"/>
                <w:sz w:val="20"/>
              </w:rPr>
              <w:t>fix</w:t>
            </w:r>
          </w:p>
        </w:tc>
        <w:tc>
          <w:tcPr>
            <w:tcW w:type="dxa" w:w="7776"/>
            <w:shd w:val="clear" w:color="auto" w:fill="EEF2FB"/>
          </w:tcPr>
          <w:p>
            <w:r>
              <w:rPr>
                <w:rFonts w:ascii="Calibri" w:hAnsi="Calibri"/>
                <w:color w:val="444444"/>
                <w:sz w:val="20"/>
              </w:rPr>
              <w:t>Retry deployment list fetch with preview API versions on 404</w:t>
            </w:r>
          </w:p>
        </w:tc>
      </w:tr>
      <w:tr>
        <w:tc>
          <w:tcPr>
            <w:tcW w:type="dxa" w:w="1440"/>
          </w:tcPr>
          <w:p>
            <w:r>
              <w:rPr>
                <w:rFonts w:ascii="Courier New" w:hAnsi="Courier New"/>
                <w:color w:val="1E2761"/>
                <w:sz w:val="20"/>
              </w:rPr>
              <w:t>141ac98</w:t>
            </w:r>
          </w:p>
        </w:tc>
        <w:tc>
          <w:tcPr>
            <w:tcW w:type="dxa" w:w="1152"/>
          </w:tcPr>
          <w:p>
            <w:r>
              <w:rPr>
                <w:rFonts w:ascii="Calibri" w:hAnsi="Calibri"/>
                <w:b/>
                <w:color w:val="C55A11"/>
                <w:sz w:val="20"/>
              </w:rPr>
              <w:t>fix</w:t>
            </w:r>
          </w:p>
        </w:tc>
        <w:tc>
          <w:tcPr>
            <w:tcW w:type="dxa" w:w="7776"/>
          </w:tcPr>
          <w:p>
            <w:r>
              <w:rPr>
                <w:rFonts w:ascii="Calibri" w:hAnsi="Calibri"/>
                <w:color w:val="444444"/>
                <w:sz w:val="20"/>
              </w:rPr>
              <w:t>Add more API versions for cognitiveservices.azure.com deployment fetch</w:t>
            </w:r>
          </w:p>
        </w:tc>
      </w:tr>
    </w:tbl>
    <w:p/>
    <w:p>
      <w:pPr>
        <w:spacing w:before="480"/>
        <w:jc w:val="center"/>
      </w:pPr>
      <w:r>
        <w:rPr>
          <w:rFonts w:ascii="Calibri" w:hAnsi="Calibri"/>
          <w:i/>
          <w:color w:val="AAAAAA"/>
          <w:sz w:val="18"/>
        </w:rPr>
        <w:t>QueryBot v2 Requirements Specification · GainInsights Solutions Pvt Ltd · Confidential · Generated 19 June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