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30BF" w14:textId="77777777" w:rsidR="00637BF6" w:rsidRPr="00C93723" w:rsidRDefault="00000000">
      <w:pPr>
        <w:spacing w:before="2000"/>
        <w:jc w:val="center"/>
      </w:pPr>
      <w:r w:rsidRPr="00C93723">
        <w:rPr>
          <w:rFonts w:eastAsia="Calibri"/>
          <w:b/>
          <w:bCs/>
          <w:sz w:val="52"/>
          <w:szCs w:val="52"/>
        </w:rPr>
        <w:t>VOUCHCODE</w:t>
      </w:r>
    </w:p>
    <w:p w14:paraId="4C7DBE97" w14:textId="77777777" w:rsidR="00637BF6" w:rsidRPr="00C93723" w:rsidRDefault="00000000">
      <w:pPr>
        <w:spacing w:before="200" w:after="600"/>
        <w:jc w:val="center"/>
      </w:pPr>
      <w:r w:rsidRPr="00C93723">
        <w:rPr>
          <w:rFonts w:eastAsia="Calibri"/>
          <w:b/>
          <w:bCs/>
          <w:sz w:val="28"/>
          <w:szCs w:val="28"/>
        </w:rPr>
        <w:t>A Local-First Cryptographic Provenance and Comprehension Verification System for AI-Assisted Software Development</w:t>
      </w:r>
    </w:p>
    <w:p w14:paraId="0F059155" w14:textId="77777777" w:rsidR="00637BF6" w:rsidRPr="00C93723" w:rsidRDefault="00000000">
      <w:pPr>
        <w:spacing w:after="100"/>
        <w:jc w:val="center"/>
      </w:pPr>
      <w:r w:rsidRPr="00C93723">
        <w:rPr>
          <w:rFonts w:eastAsia="Calibri"/>
          <w:i/>
          <w:iCs/>
          <w:sz w:val="24"/>
          <w:szCs w:val="24"/>
        </w:rPr>
        <w:t>Research and System Design Documentation</w:t>
      </w:r>
    </w:p>
    <w:p w14:paraId="63A521A0" w14:textId="77777777" w:rsidR="00637BF6" w:rsidRPr="00C93723" w:rsidRDefault="00000000">
      <w:pPr>
        <w:spacing w:before="800" w:after="100"/>
        <w:jc w:val="center"/>
      </w:pPr>
      <w:r w:rsidRPr="00C93723">
        <w:rPr>
          <w:rFonts w:eastAsia="Calibri"/>
          <w:sz w:val="22"/>
          <w:szCs w:val="22"/>
        </w:rPr>
        <w:t>Prepared by: Muhammad Sudais Khalid</w:t>
      </w:r>
    </w:p>
    <w:p w14:paraId="5107D65C" w14:textId="77777777" w:rsidR="00637BF6" w:rsidRPr="00C93723" w:rsidRDefault="00000000">
      <w:pPr>
        <w:spacing w:after="100"/>
        <w:jc w:val="center"/>
      </w:pPr>
      <w:r w:rsidRPr="00C93723">
        <w:rPr>
          <w:rFonts w:eastAsia="Calibri"/>
          <w:sz w:val="22"/>
          <w:szCs w:val="22"/>
        </w:rPr>
        <w:t>Registration No.: BSAI-23F-0050</w:t>
      </w:r>
    </w:p>
    <w:p w14:paraId="34B75C18" w14:textId="77777777" w:rsidR="00637BF6" w:rsidRPr="00C93723" w:rsidRDefault="00000000">
      <w:pPr>
        <w:spacing w:after="100"/>
        <w:jc w:val="center"/>
      </w:pPr>
      <w:r w:rsidRPr="00C93723">
        <w:rPr>
          <w:rFonts w:eastAsia="Calibri"/>
          <w:sz w:val="22"/>
          <w:szCs w:val="22"/>
        </w:rPr>
        <w:t>Program: B.Sc. Artificial Intelligence, Shifa Tameer-e-Millat University, Islamabad</w:t>
      </w:r>
    </w:p>
    <w:p w14:paraId="7954C1EF" w14:textId="77777777" w:rsidR="00637BF6" w:rsidRPr="00C93723" w:rsidRDefault="00000000">
      <w:pPr>
        <w:spacing w:after="100"/>
        <w:jc w:val="center"/>
      </w:pPr>
      <w:r w:rsidRPr="00C93723">
        <w:rPr>
          <w:rFonts w:eastAsia="Calibri"/>
          <w:sz w:val="22"/>
          <w:szCs w:val="22"/>
        </w:rPr>
        <w:t>Prepared for: AI Builders Hackathon 2026</w:t>
      </w:r>
    </w:p>
    <w:p w14:paraId="43A0D706" w14:textId="77777777" w:rsidR="00637BF6" w:rsidRPr="00C93723" w:rsidRDefault="00000000">
      <w:pPr>
        <w:spacing w:before="800"/>
        <w:jc w:val="center"/>
      </w:pPr>
      <w:r w:rsidRPr="00C93723">
        <w:rPr>
          <w:rFonts w:eastAsia="Calibri"/>
        </w:rPr>
        <w:t>Version 1.0 — August 2026</w:t>
      </w:r>
    </w:p>
    <w:p w14:paraId="0C65DBEC" w14:textId="77777777" w:rsidR="00637BF6" w:rsidRPr="00C93723" w:rsidRDefault="00000000">
      <w:r w:rsidRPr="00C93723">
        <w:br w:type="page"/>
      </w:r>
    </w:p>
    <w:p w14:paraId="3AB29EF0" w14:textId="77777777" w:rsidR="00637BF6" w:rsidRPr="00C93723" w:rsidRDefault="00000000">
      <w:pPr>
        <w:pStyle w:val="Heading1"/>
        <w:spacing w:before="400" w:after="200"/>
        <w:rPr>
          <w:color w:val="auto"/>
        </w:rPr>
      </w:pPr>
      <w:r w:rsidRPr="00C93723">
        <w:rPr>
          <w:rFonts w:eastAsia="Calibri"/>
          <w:color w:val="auto"/>
        </w:rPr>
        <w:lastRenderedPageBreak/>
        <w:t>Table of Contents</w:t>
      </w:r>
    </w:p>
    <w:p w14:paraId="71882B7C" w14:textId="77777777" w:rsidR="00637BF6" w:rsidRPr="00C93723" w:rsidRDefault="00000000">
      <w:pPr>
        <w:tabs>
          <w:tab w:val="right" w:leader="dot" w:pos="9026"/>
        </w:tabs>
        <w:spacing w:after="140"/>
      </w:pPr>
      <w:r w:rsidRPr="00C93723">
        <w:rPr>
          <w:rFonts w:eastAsia="Calibri"/>
          <w:sz w:val="22"/>
          <w:szCs w:val="22"/>
        </w:rPr>
        <w:t>Abstract</w:t>
      </w:r>
      <w:r w:rsidRPr="00C93723">
        <w:rPr>
          <w:rFonts w:eastAsia="Calibri"/>
          <w:sz w:val="22"/>
          <w:szCs w:val="22"/>
        </w:rPr>
        <w:tab/>
        <w:t>3</w:t>
      </w:r>
    </w:p>
    <w:p w14:paraId="0FF92D22" w14:textId="77777777" w:rsidR="00637BF6" w:rsidRPr="00C93723" w:rsidRDefault="00000000">
      <w:pPr>
        <w:tabs>
          <w:tab w:val="right" w:leader="dot" w:pos="9026"/>
        </w:tabs>
        <w:spacing w:after="140"/>
      </w:pPr>
      <w:r w:rsidRPr="00C93723">
        <w:rPr>
          <w:rFonts w:eastAsia="Calibri"/>
          <w:sz w:val="22"/>
          <w:szCs w:val="22"/>
        </w:rPr>
        <w:t>1. Introduction</w:t>
      </w:r>
      <w:r w:rsidRPr="00C93723">
        <w:rPr>
          <w:rFonts w:eastAsia="Calibri"/>
          <w:sz w:val="22"/>
          <w:szCs w:val="22"/>
        </w:rPr>
        <w:tab/>
        <w:t>3</w:t>
      </w:r>
    </w:p>
    <w:p w14:paraId="65453935" w14:textId="77777777" w:rsidR="00637BF6" w:rsidRPr="00C93723" w:rsidRDefault="00000000">
      <w:pPr>
        <w:tabs>
          <w:tab w:val="right" w:leader="dot" w:pos="9026"/>
        </w:tabs>
        <w:spacing w:after="140"/>
      </w:pPr>
      <w:r w:rsidRPr="00C93723">
        <w:rPr>
          <w:rFonts w:eastAsia="Calibri"/>
          <w:sz w:val="22"/>
          <w:szCs w:val="22"/>
        </w:rPr>
        <w:t>2. Related Work</w:t>
      </w:r>
      <w:r w:rsidRPr="00C93723">
        <w:rPr>
          <w:rFonts w:eastAsia="Calibri"/>
          <w:sz w:val="22"/>
          <w:szCs w:val="22"/>
        </w:rPr>
        <w:tab/>
        <w:t>4</w:t>
      </w:r>
    </w:p>
    <w:p w14:paraId="2BB08783" w14:textId="77777777" w:rsidR="00637BF6" w:rsidRPr="00C93723" w:rsidRDefault="00000000">
      <w:pPr>
        <w:tabs>
          <w:tab w:val="right" w:leader="dot" w:pos="9026"/>
        </w:tabs>
        <w:spacing w:after="140"/>
      </w:pPr>
      <w:r w:rsidRPr="00C93723">
        <w:rPr>
          <w:rFonts w:eastAsia="Calibri"/>
          <w:sz w:val="22"/>
          <w:szCs w:val="22"/>
        </w:rPr>
        <w:t>3. System Overview</w:t>
      </w:r>
      <w:r w:rsidRPr="00C93723">
        <w:rPr>
          <w:rFonts w:eastAsia="Calibri"/>
          <w:sz w:val="22"/>
          <w:szCs w:val="22"/>
        </w:rPr>
        <w:tab/>
        <w:t>5</w:t>
      </w:r>
    </w:p>
    <w:p w14:paraId="2E4B7D97" w14:textId="77777777" w:rsidR="00637BF6" w:rsidRPr="00C93723" w:rsidRDefault="00000000">
      <w:pPr>
        <w:tabs>
          <w:tab w:val="right" w:leader="dot" w:pos="9026"/>
        </w:tabs>
        <w:spacing w:after="140"/>
      </w:pPr>
      <w:r w:rsidRPr="00C93723">
        <w:rPr>
          <w:rFonts w:eastAsia="Calibri"/>
          <w:sz w:val="22"/>
          <w:szCs w:val="22"/>
        </w:rPr>
        <w:t>4. Methodology</w:t>
      </w:r>
      <w:r w:rsidRPr="00C93723">
        <w:rPr>
          <w:rFonts w:eastAsia="Calibri"/>
          <w:sz w:val="22"/>
          <w:szCs w:val="22"/>
        </w:rPr>
        <w:tab/>
        <w:t>6</w:t>
      </w:r>
    </w:p>
    <w:p w14:paraId="211DCAE5" w14:textId="77777777" w:rsidR="00637BF6" w:rsidRPr="00C93723" w:rsidRDefault="00000000">
      <w:pPr>
        <w:tabs>
          <w:tab w:val="right" w:leader="dot" w:pos="9026"/>
        </w:tabs>
        <w:spacing w:after="140"/>
      </w:pPr>
      <w:r w:rsidRPr="00C93723">
        <w:rPr>
          <w:rFonts w:eastAsia="Calibri"/>
          <w:sz w:val="22"/>
          <w:szCs w:val="22"/>
        </w:rPr>
        <w:t>5. Implementation Plan</w:t>
      </w:r>
      <w:r w:rsidRPr="00C93723">
        <w:rPr>
          <w:rFonts w:eastAsia="Calibri"/>
          <w:sz w:val="22"/>
          <w:szCs w:val="22"/>
        </w:rPr>
        <w:tab/>
        <w:t>7</w:t>
      </w:r>
    </w:p>
    <w:p w14:paraId="0EFD8025" w14:textId="77777777" w:rsidR="00637BF6" w:rsidRPr="00C93723" w:rsidRDefault="00000000">
      <w:pPr>
        <w:tabs>
          <w:tab w:val="right" w:leader="dot" w:pos="9026"/>
        </w:tabs>
        <w:spacing w:after="140"/>
      </w:pPr>
      <w:r w:rsidRPr="00C93723">
        <w:rPr>
          <w:rFonts w:eastAsia="Calibri"/>
          <w:sz w:val="22"/>
          <w:szCs w:val="22"/>
        </w:rPr>
        <w:t>6. Threat Model and Security Considerations</w:t>
      </w:r>
      <w:r w:rsidRPr="00C93723">
        <w:rPr>
          <w:rFonts w:eastAsia="Calibri"/>
          <w:sz w:val="22"/>
          <w:szCs w:val="22"/>
        </w:rPr>
        <w:tab/>
        <w:t>7</w:t>
      </w:r>
    </w:p>
    <w:p w14:paraId="2E29D3D3" w14:textId="77777777" w:rsidR="00637BF6" w:rsidRPr="00C93723" w:rsidRDefault="00000000">
      <w:pPr>
        <w:tabs>
          <w:tab w:val="right" w:leader="dot" w:pos="9026"/>
        </w:tabs>
        <w:spacing w:after="140"/>
      </w:pPr>
      <w:r w:rsidRPr="00C93723">
        <w:rPr>
          <w:rFonts w:eastAsia="Calibri"/>
          <w:sz w:val="22"/>
          <w:szCs w:val="22"/>
        </w:rPr>
        <w:t>7. Evaluation Strategy</w:t>
      </w:r>
      <w:r w:rsidRPr="00C93723">
        <w:rPr>
          <w:rFonts w:eastAsia="Calibri"/>
          <w:sz w:val="22"/>
          <w:szCs w:val="22"/>
        </w:rPr>
        <w:tab/>
        <w:t>8</w:t>
      </w:r>
    </w:p>
    <w:p w14:paraId="15B00AF7" w14:textId="77777777" w:rsidR="00637BF6" w:rsidRPr="00C93723" w:rsidRDefault="00000000">
      <w:pPr>
        <w:tabs>
          <w:tab w:val="right" w:leader="dot" w:pos="9026"/>
        </w:tabs>
        <w:spacing w:after="140"/>
      </w:pPr>
      <w:r w:rsidRPr="00C93723">
        <w:rPr>
          <w:rFonts w:eastAsia="Calibri"/>
          <w:sz w:val="22"/>
          <w:szCs w:val="22"/>
        </w:rPr>
        <w:t>8. Comparative Analysis</w:t>
      </w:r>
      <w:r w:rsidRPr="00C93723">
        <w:rPr>
          <w:rFonts w:eastAsia="Calibri"/>
          <w:sz w:val="22"/>
          <w:szCs w:val="22"/>
        </w:rPr>
        <w:tab/>
        <w:t>8</w:t>
      </w:r>
    </w:p>
    <w:p w14:paraId="1DA159E2" w14:textId="77777777" w:rsidR="00637BF6" w:rsidRPr="00C93723" w:rsidRDefault="00000000">
      <w:pPr>
        <w:tabs>
          <w:tab w:val="right" w:leader="dot" w:pos="9026"/>
        </w:tabs>
        <w:spacing w:after="140"/>
      </w:pPr>
      <w:r w:rsidRPr="00C93723">
        <w:rPr>
          <w:rFonts w:eastAsia="Calibri"/>
          <w:sz w:val="22"/>
          <w:szCs w:val="22"/>
        </w:rPr>
        <w:t>9. Use Cases and Applications</w:t>
      </w:r>
      <w:r w:rsidRPr="00C93723">
        <w:rPr>
          <w:rFonts w:eastAsia="Calibri"/>
          <w:sz w:val="22"/>
          <w:szCs w:val="22"/>
        </w:rPr>
        <w:tab/>
        <w:t>9</w:t>
      </w:r>
    </w:p>
    <w:p w14:paraId="5201F6C3" w14:textId="77777777" w:rsidR="00637BF6" w:rsidRPr="00C93723" w:rsidRDefault="00000000">
      <w:pPr>
        <w:tabs>
          <w:tab w:val="right" w:leader="dot" w:pos="9026"/>
        </w:tabs>
        <w:spacing w:after="140"/>
      </w:pPr>
      <w:r w:rsidRPr="00C93723">
        <w:rPr>
          <w:rFonts w:eastAsia="Calibri"/>
          <w:sz w:val="22"/>
          <w:szCs w:val="22"/>
        </w:rPr>
        <w:t>10. Limitations and Future Work</w:t>
      </w:r>
      <w:r w:rsidRPr="00C93723">
        <w:rPr>
          <w:rFonts w:eastAsia="Calibri"/>
          <w:sz w:val="22"/>
          <w:szCs w:val="22"/>
        </w:rPr>
        <w:tab/>
        <w:t>10</w:t>
      </w:r>
    </w:p>
    <w:p w14:paraId="30647181" w14:textId="77777777" w:rsidR="00637BF6" w:rsidRPr="00C93723" w:rsidRDefault="00000000">
      <w:pPr>
        <w:tabs>
          <w:tab w:val="right" w:leader="dot" w:pos="9026"/>
        </w:tabs>
        <w:spacing w:after="140"/>
      </w:pPr>
      <w:r w:rsidRPr="00C93723">
        <w:rPr>
          <w:rFonts w:eastAsia="Calibri"/>
          <w:sz w:val="22"/>
          <w:szCs w:val="22"/>
        </w:rPr>
        <w:t>11. Conclusion</w:t>
      </w:r>
      <w:r w:rsidRPr="00C93723">
        <w:rPr>
          <w:rFonts w:eastAsia="Calibri"/>
          <w:sz w:val="22"/>
          <w:szCs w:val="22"/>
        </w:rPr>
        <w:tab/>
        <w:t>10</w:t>
      </w:r>
    </w:p>
    <w:p w14:paraId="18633377" w14:textId="77777777" w:rsidR="00637BF6" w:rsidRPr="00C93723" w:rsidRDefault="00000000">
      <w:pPr>
        <w:tabs>
          <w:tab w:val="right" w:leader="dot" w:pos="9026"/>
        </w:tabs>
        <w:spacing w:after="140"/>
      </w:pPr>
      <w:r w:rsidRPr="00C93723">
        <w:rPr>
          <w:rFonts w:eastAsia="Calibri"/>
          <w:sz w:val="22"/>
          <w:szCs w:val="22"/>
        </w:rPr>
        <w:t>References</w:t>
      </w:r>
      <w:r w:rsidRPr="00C93723">
        <w:rPr>
          <w:rFonts w:eastAsia="Calibri"/>
          <w:sz w:val="22"/>
          <w:szCs w:val="22"/>
        </w:rPr>
        <w:tab/>
        <w:t>11</w:t>
      </w:r>
    </w:p>
    <w:p w14:paraId="30BA084A" w14:textId="77777777" w:rsidR="00637BF6" w:rsidRPr="00C93723" w:rsidRDefault="00000000">
      <w:r w:rsidRPr="00C93723">
        <w:br w:type="page"/>
      </w:r>
    </w:p>
    <w:p w14:paraId="6BDCD13A" w14:textId="77777777" w:rsidR="00637BF6" w:rsidRPr="00C93723" w:rsidRDefault="00000000">
      <w:pPr>
        <w:pStyle w:val="Heading1"/>
        <w:spacing w:before="400" w:after="200"/>
        <w:rPr>
          <w:color w:val="auto"/>
        </w:rPr>
      </w:pPr>
      <w:r w:rsidRPr="00C93723">
        <w:rPr>
          <w:rFonts w:eastAsia="Calibri"/>
          <w:color w:val="auto"/>
        </w:rPr>
        <w:lastRenderedPageBreak/>
        <w:t>Abstract</w:t>
      </w:r>
    </w:p>
    <w:p w14:paraId="11538FD1" w14:textId="77777777" w:rsidR="00637BF6" w:rsidRPr="00C93723" w:rsidRDefault="00000000">
      <w:pPr>
        <w:spacing w:after="200" w:line="276" w:lineRule="auto"/>
        <w:jc w:val="both"/>
      </w:pPr>
      <w:r w:rsidRPr="00C93723">
        <w:rPr>
          <w:rFonts w:eastAsia="Calibri"/>
          <w:sz w:val="22"/>
          <w:szCs w:val="22"/>
        </w:rPr>
        <w:t>The widespread adoption of AI coding assistants such as Claude Code, GitHub Copilot, and Cursor has fundamentally altered the software authorship model. Industry estimates place AI involvement in roughly forty percent of newly written code, with the large majority of professional developers using such tools on a weekly basis. This shift has outpaced the tooling available to record, verify, and reason about authorship, leaving a structural gap between the speed of AI-assisted generation and the ability of institutions, employers, and reviewers to establish accountability for the resulting code. Existing solutions in this space concentrate on attribution alone: tagging which lines of a commit originated from a human versus an AI tool. This document presents Vouchcode, a local-first system that extends the attribution model with a novel comprehension verification layer, requiring the committing developer to demonstrate understanding of AI-generated code through structurally derived questioning before that code is cryptographically sealed into a tamper-evident provenance ledger. Unlike existing enterprise and open-source alternatives, Vouchcode operates entirely on the developer's machine, depends on no external AI service for its own analysis, and produces a single portable, independently verifiable report suitable for academic integrity review, technical hiring assessment, or software supply chain audit. This document describes the motivation, related work, system architecture, methodology, threat model, and evaluation strategy for Vouchcode.</w:t>
      </w:r>
    </w:p>
    <w:p w14:paraId="4DC0EE36" w14:textId="77777777" w:rsidR="00637BF6" w:rsidRPr="00C93723" w:rsidRDefault="00000000">
      <w:pPr>
        <w:pStyle w:val="Heading1"/>
        <w:spacing w:before="400" w:after="200"/>
        <w:rPr>
          <w:color w:val="auto"/>
        </w:rPr>
      </w:pPr>
      <w:r w:rsidRPr="00C93723">
        <w:rPr>
          <w:rFonts w:eastAsia="Calibri"/>
          <w:color w:val="auto"/>
        </w:rPr>
        <w:t>1. Introduction</w:t>
      </w:r>
    </w:p>
    <w:p w14:paraId="7D7F6AAD" w14:textId="77777777" w:rsidR="00637BF6" w:rsidRPr="00C93723" w:rsidRDefault="00000000">
      <w:pPr>
        <w:pStyle w:val="Heading2"/>
        <w:spacing w:before="300" w:after="150"/>
        <w:rPr>
          <w:color w:val="auto"/>
        </w:rPr>
      </w:pPr>
      <w:r w:rsidRPr="00C93723">
        <w:rPr>
          <w:rFonts w:eastAsia="Calibri"/>
          <w:color w:val="auto"/>
        </w:rPr>
        <w:t>1.1 Background and Motivation</w:t>
      </w:r>
    </w:p>
    <w:p w14:paraId="1C2C5F9E" w14:textId="77777777" w:rsidR="00637BF6" w:rsidRPr="00C93723" w:rsidRDefault="00000000">
      <w:pPr>
        <w:spacing w:after="200" w:line="276" w:lineRule="auto"/>
        <w:jc w:val="both"/>
      </w:pPr>
      <w:r w:rsidRPr="00C93723">
        <w:rPr>
          <w:rFonts w:eastAsia="Calibri"/>
          <w:sz w:val="22"/>
          <w:szCs w:val="22"/>
        </w:rPr>
        <w:t>Software development has entered a period in which a meaningful proportion of code entering production repositories is not typed by the developer who commits it. Reports from major technology organizations indicate that a substantial share of code at companies such as Google and Microsoft is now AI-generated or AI-assisted. This trend, while producing genuine gains in developer velocity, introduces a new class of accountability problem. Git, the dominant version control system, was designed under the assumption that the named author of a commit is also its intellectual originator. That assumption no longer holds uniformly, and the metadata Git captures by default, an author name, an email address, and a timestamp, cannot distinguish a line typed by a person from a line accepted from a language model suggestion.</w:t>
      </w:r>
    </w:p>
    <w:p w14:paraId="6D5CF21C" w14:textId="77777777" w:rsidR="00637BF6" w:rsidRPr="00C93723" w:rsidRDefault="00000000">
      <w:pPr>
        <w:spacing w:after="200" w:line="276" w:lineRule="auto"/>
        <w:jc w:val="both"/>
      </w:pPr>
      <w:r w:rsidRPr="00C93723">
        <w:rPr>
          <w:rFonts w:eastAsia="Calibri"/>
          <w:sz w:val="22"/>
          <w:szCs w:val="22"/>
        </w:rPr>
        <w:t>This gap manifests differently across three contexts relevant to the author's own position as a final-year computer science student and dual ML/DL intern. In academic settings, instructors increasingly cannot verify whether a submitted assignment or final-year project reflects a student's own understanding or an unexamined AI output. In hiring and technical assessment, employers face the same uncertainty when evaluating a candidate's take-home submission or portfolio repository. In professional software supply chains, security and compliance teams must now account for AI-authored code under frameworks such as SLSA (Supply-chain Levels for Software Artifacts), which require verifiable proof of who or what authored a given change.</w:t>
      </w:r>
    </w:p>
    <w:p w14:paraId="21C1017A" w14:textId="77777777" w:rsidR="00637BF6" w:rsidRPr="00C93723" w:rsidRDefault="00000000">
      <w:pPr>
        <w:pStyle w:val="Heading2"/>
        <w:spacing w:before="300" w:after="150"/>
        <w:rPr>
          <w:color w:val="auto"/>
        </w:rPr>
      </w:pPr>
      <w:r w:rsidRPr="00C93723">
        <w:rPr>
          <w:rFonts w:eastAsia="Calibri"/>
          <w:color w:val="auto"/>
        </w:rPr>
        <w:t>1.2 Problem Statement</w:t>
      </w:r>
    </w:p>
    <w:p w14:paraId="04626EFB" w14:textId="77777777" w:rsidR="00637BF6" w:rsidRPr="00C93723" w:rsidRDefault="00000000">
      <w:pPr>
        <w:spacing w:after="200" w:line="276" w:lineRule="auto"/>
        <w:jc w:val="both"/>
      </w:pPr>
      <w:r w:rsidRPr="00C93723">
        <w:rPr>
          <w:rFonts w:eastAsia="Calibri"/>
          <w:sz w:val="22"/>
          <w:szCs w:val="22"/>
        </w:rPr>
        <w:t xml:space="preserve">Current tooling addresses the question of who or what generated a segment of code, but does not address whether the accountable human party understands that code well enough to be responsible for it. A developer can accept an AI-generated function without reading it, commit it under their own name, and </w:t>
      </w:r>
      <w:r w:rsidRPr="00C93723">
        <w:rPr>
          <w:rFonts w:eastAsia="Calibri"/>
          <w:sz w:val="22"/>
          <w:szCs w:val="22"/>
        </w:rPr>
        <w:lastRenderedPageBreak/>
        <w:t>pass any attribution check that exists today, because attribution checks verify authorship of text, not comprehension of logic. This creates a residual accountability gap even in systems with perfect attribution tagging. Vouchcode is motivated by the position that authorship attribution is a necessary but insufficient condition for accountable AI-assisted development, and that verifiable comprehension is the missing second condition.</w:t>
      </w:r>
    </w:p>
    <w:p w14:paraId="4F483580" w14:textId="77777777" w:rsidR="00637BF6" w:rsidRPr="00C93723" w:rsidRDefault="00000000">
      <w:pPr>
        <w:pStyle w:val="Heading2"/>
        <w:spacing w:before="300" w:after="150"/>
        <w:rPr>
          <w:color w:val="auto"/>
        </w:rPr>
      </w:pPr>
      <w:r w:rsidRPr="00C93723">
        <w:rPr>
          <w:rFonts w:eastAsia="Calibri"/>
          <w:color w:val="auto"/>
        </w:rPr>
        <w:t>1.3 Objectives</w:t>
      </w:r>
    </w:p>
    <w:p w14:paraId="203950AF" w14:textId="77777777" w:rsidR="00637BF6" w:rsidRPr="00C93723" w:rsidRDefault="00000000">
      <w:pPr>
        <w:pStyle w:val="ListParagraph"/>
        <w:numPr>
          <w:ilvl w:val="0"/>
          <w:numId w:val="2"/>
        </w:numPr>
        <w:spacing w:after="100"/>
      </w:pPr>
      <w:r w:rsidRPr="00C93723">
        <w:rPr>
          <w:rFonts w:eastAsia="Calibri"/>
          <w:sz w:val="22"/>
          <w:szCs w:val="22"/>
        </w:rPr>
        <w:t>Design and implement a local, zero-dependency mechanism for detecting and segmenting AI-authored versus human-authored code at the level of individual commits.</w:t>
      </w:r>
    </w:p>
    <w:p w14:paraId="51D9139A" w14:textId="77777777" w:rsidR="00637BF6" w:rsidRPr="00C93723" w:rsidRDefault="00000000">
      <w:pPr>
        <w:pStyle w:val="ListParagraph"/>
        <w:numPr>
          <w:ilvl w:val="0"/>
          <w:numId w:val="2"/>
        </w:numPr>
        <w:spacing w:after="100"/>
      </w:pPr>
      <w:r w:rsidRPr="00C93723">
        <w:rPr>
          <w:rFonts w:eastAsia="Calibri"/>
          <w:sz w:val="22"/>
          <w:szCs w:val="22"/>
        </w:rPr>
        <w:t>Design a deterministic, AST-derived comprehension verification mechanism that does not depend on an external AI service, consistent with a verify-before-trust engineering philosophy.</w:t>
      </w:r>
    </w:p>
    <w:p w14:paraId="0FD1E678" w14:textId="77777777" w:rsidR="00637BF6" w:rsidRPr="00C93723" w:rsidRDefault="00000000">
      <w:pPr>
        <w:pStyle w:val="ListParagraph"/>
        <w:numPr>
          <w:ilvl w:val="0"/>
          <w:numId w:val="2"/>
        </w:numPr>
        <w:spacing w:after="100"/>
      </w:pPr>
      <w:r w:rsidRPr="00C93723">
        <w:rPr>
          <w:rFonts w:eastAsia="Calibri"/>
          <w:sz w:val="22"/>
          <w:szCs w:val="22"/>
        </w:rPr>
        <w:t>Design a cryptographically tamper-evident provenance ledger capable of recording authorship and comprehension outcomes over the lifetime of a repository.</w:t>
      </w:r>
    </w:p>
    <w:p w14:paraId="0283562D" w14:textId="77777777" w:rsidR="00637BF6" w:rsidRPr="00C93723" w:rsidRDefault="00000000">
      <w:pPr>
        <w:pStyle w:val="ListParagraph"/>
        <w:numPr>
          <w:ilvl w:val="0"/>
          <w:numId w:val="2"/>
        </w:numPr>
        <w:spacing w:after="100"/>
      </w:pPr>
      <w:r w:rsidRPr="00C93723">
        <w:rPr>
          <w:rFonts w:eastAsia="Calibri"/>
          <w:sz w:val="22"/>
          <w:szCs w:val="22"/>
        </w:rPr>
        <w:t>Produce a portable, independently verifiable report format usable in academic, hiring, and audit contexts without requiring the verifying party to install any software or hold any account.</w:t>
      </w:r>
    </w:p>
    <w:p w14:paraId="038DA1E4" w14:textId="77777777" w:rsidR="00637BF6" w:rsidRPr="00C93723" w:rsidRDefault="00000000">
      <w:pPr>
        <w:pStyle w:val="ListParagraph"/>
        <w:numPr>
          <w:ilvl w:val="0"/>
          <w:numId w:val="2"/>
        </w:numPr>
        <w:spacing w:after="100"/>
      </w:pPr>
      <w:r w:rsidRPr="00C93723">
        <w:rPr>
          <w:rFonts w:eastAsia="Calibri"/>
          <w:sz w:val="22"/>
          <w:szCs w:val="22"/>
        </w:rPr>
        <w:t>Evaluate the system against existing enterprise and open-source alternatives on deployment friction, data residency, and verification depth.</w:t>
      </w:r>
    </w:p>
    <w:p w14:paraId="6B885B61" w14:textId="77777777" w:rsidR="00637BF6" w:rsidRPr="00C93723" w:rsidRDefault="00000000">
      <w:pPr>
        <w:pStyle w:val="Heading2"/>
        <w:spacing w:before="300" w:after="150"/>
        <w:rPr>
          <w:color w:val="auto"/>
        </w:rPr>
      </w:pPr>
      <w:r w:rsidRPr="00C93723">
        <w:rPr>
          <w:rFonts w:eastAsia="Calibri"/>
          <w:color w:val="auto"/>
        </w:rPr>
        <w:t>1.4 Scope</w:t>
      </w:r>
    </w:p>
    <w:p w14:paraId="692687DF" w14:textId="77777777" w:rsidR="00637BF6" w:rsidRPr="00C93723" w:rsidRDefault="00000000">
      <w:pPr>
        <w:spacing w:after="200" w:line="276" w:lineRule="auto"/>
        <w:jc w:val="both"/>
      </w:pPr>
      <w:r w:rsidRPr="00C93723">
        <w:rPr>
          <w:rFonts w:eastAsia="Calibri"/>
          <w:sz w:val="22"/>
          <w:szCs w:val="22"/>
        </w:rPr>
        <w:t>The initial system targets Python source repositories, given the maturity and accessibility of Python's built-in abstract syntax tree (AST) tooling, with extension to JavaScript and TypeScript via tree-sitter identified as a subsequent phase. The system is designed for use by individual developers and small teams operating in local development environments, and is not, in its initial scope, intended to replace enterprise-grade continuous integration security scanning, though its output is designed to be compatible with such pipelines.</w:t>
      </w:r>
    </w:p>
    <w:p w14:paraId="06375972" w14:textId="77777777" w:rsidR="00637BF6" w:rsidRPr="00C93723" w:rsidRDefault="00000000">
      <w:pPr>
        <w:pStyle w:val="Heading1"/>
        <w:spacing w:before="400" w:after="200"/>
        <w:rPr>
          <w:color w:val="auto"/>
        </w:rPr>
      </w:pPr>
      <w:r w:rsidRPr="00C93723">
        <w:rPr>
          <w:rFonts w:eastAsia="Calibri"/>
          <w:color w:val="auto"/>
        </w:rPr>
        <w:t>2. Related Work</w:t>
      </w:r>
    </w:p>
    <w:p w14:paraId="146F1F51" w14:textId="77777777" w:rsidR="00637BF6" w:rsidRPr="00C93723" w:rsidRDefault="00000000">
      <w:pPr>
        <w:spacing w:after="200" w:line="276" w:lineRule="auto"/>
        <w:jc w:val="both"/>
      </w:pPr>
      <w:r w:rsidRPr="00C93723">
        <w:rPr>
          <w:rFonts w:eastAsia="Calibri"/>
          <w:sz w:val="22"/>
          <w:szCs w:val="22"/>
        </w:rPr>
        <w:t>This section surveys the existing landscape of AI code provenance and attribution tooling as of mid-2026, situating Vouchcode's contribution relative to each category.</w:t>
      </w:r>
    </w:p>
    <w:p w14:paraId="0611230C" w14:textId="77777777" w:rsidR="00637BF6" w:rsidRPr="00C93723" w:rsidRDefault="00000000">
      <w:pPr>
        <w:pStyle w:val="Heading2"/>
        <w:spacing w:before="300" w:after="150"/>
        <w:rPr>
          <w:color w:val="auto"/>
        </w:rPr>
      </w:pPr>
      <w:r w:rsidRPr="00C93723">
        <w:rPr>
          <w:rFonts w:eastAsia="Calibri"/>
          <w:color w:val="auto"/>
        </w:rPr>
        <w:t>2.1 Enterprise Provenance Platforms</w:t>
      </w:r>
    </w:p>
    <w:p w14:paraId="5A7A34D0" w14:textId="77777777" w:rsidR="00637BF6" w:rsidRPr="00C93723" w:rsidRDefault="00000000">
      <w:pPr>
        <w:spacing w:after="200" w:line="276" w:lineRule="auto"/>
        <w:jc w:val="both"/>
      </w:pPr>
      <w:r w:rsidRPr="00C93723">
        <w:rPr>
          <w:rFonts w:eastAsia="Calibri"/>
          <w:sz w:val="22"/>
          <w:szCs w:val="22"/>
        </w:rPr>
        <w:t>A category of commercial tooling has emerged around client-side capture of AI tool usage, writing structured provenance metadata into Git-native mechanisms such as Git Notes so that attribution survives merges, rebases, and squash operations. These platforms typically support multiple first-class integrations with popular AI coding assistants and present their findings through a hosted analytics dashboard, often oriented toward organizational return-on-investment reporting for AI tooling investment rather than individual developer accountability. Their deployment model generally requires organizational OAuth authorization into a vendor-hosted platform, which introduces a data residency consideration: provenance metadata, while not the source code itself, leaves the developer's machine.</w:t>
      </w:r>
    </w:p>
    <w:p w14:paraId="1D48E4E9" w14:textId="77777777" w:rsidR="00637BF6" w:rsidRPr="00C93723" w:rsidRDefault="00000000">
      <w:pPr>
        <w:pStyle w:val="Heading2"/>
        <w:spacing w:before="300" w:after="150"/>
        <w:rPr>
          <w:color w:val="auto"/>
        </w:rPr>
      </w:pPr>
      <w:r w:rsidRPr="00C93723">
        <w:rPr>
          <w:rFonts w:eastAsia="Calibri"/>
          <w:color w:val="auto"/>
        </w:rPr>
        <w:t>2.2 Endpoint-Level Traceability Tools</w:t>
      </w:r>
    </w:p>
    <w:p w14:paraId="10826DDA" w14:textId="77777777" w:rsidR="00637BF6" w:rsidRPr="00C93723" w:rsidRDefault="00000000">
      <w:pPr>
        <w:spacing w:after="200" w:line="276" w:lineRule="auto"/>
        <w:jc w:val="both"/>
      </w:pPr>
      <w:r w:rsidRPr="00C93723">
        <w:rPr>
          <w:rFonts w:eastAsia="Calibri"/>
          <w:sz w:val="22"/>
          <w:szCs w:val="22"/>
        </w:rPr>
        <w:lastRenderedPageBreak/>
        <w:t>A related category operates at the operating system or IDE level, observing AI coding assistant activity directly, tagging generated code with cryptographic provenance markers, and tracking that code from the developer's desktop through continuous integration into production deployment. These tools are oriented toward enterprise security teams and are typically deployed through mobile device management infrastructure, which positions them outside the reach of an individual developer or student working independently.</w:t>
      </w:r>
    </w:p>
    <w:p w14:paraId="76BD084D" w14:textId="77777777" w:rsidR="00637BF6" w:rsidRPr="00C93723" w:rsidRDefault="00000000">
      <w:pPr>
        <w:pStyle w:val="Heading2"/>
        <w:spacing w:before="300" w:after="150"/>
        <w:rPr>
          <w:color w:val="auto"/>
        </w:rPr>
      </w:pPr>
      <w:r w:rsidRPr="00C93723">
        <w:rPr>
          <w:rFonts w:eastAsia="Calibri"/>
          <w:color w:val="auto"/>
        </w:rPr>
        <w:t>2.3 Open-Source Git-Native Tools</w:t>
      </w:r>
    </w:p>
    <w:p w14:paraId="4CF47672" w14:textId="77777777" w:rsidR="00637BF6" w:rsidRPr="00C93723" w:rsidRDefault="00000000">
      <w:pPr>
        <w:spacing w:after="200" w:line="276" w:lineRule="auto"/>
        <w:jc w:val="both"/>
      </w:pPr>
      <w:r w:rsidRPr="00C93723">
        <w:rPr>
          <w:rFonts w:eastAsia="Calibri"/>
          <w:sz w:val="22"/>
          <w:szCs w:val="22"/>
        </w:rPr>
        <w:t>Lighter-weight, vendor-agnostic open-source tools exist that hook into popular AI coding assistants at the moment code is generated, fingerprint it, and preserve that metadata through Git operations using Git Notes rather than commit messages, enabling a line-level blame command that distinguishes AI from human-authored lines. These tools address the deployment friction and data residency concerns of the enterprise category, operating entirely locally, but remain limited to attribution: they answer who or what wrote a line, not whether the committing developer understands it.</w:t>
      </w:r>
    </w:p>
    <w:p w14:paraId="5970D2A6" w14:textId="77777777" w:rsidR="00637BF6" w:rsidRPr="00C93723" w:rsidRDefault="00000000">
      <w:pPr>
        <w:pStyle w:val="Heading2"/>
        <w:spacing w:before="300" w:after="150"/>
        <w:rPr>
          <w:color w:val="auto"/>
        </w:rPr>
      </w:pPr>
      <w:r w:rsidRPr="00C93723">
        <w:rPr>
          <w:rFonts w:eastAsia="Calibri"/>
          <w:color w:val="auto"/>
        </w:rPr>
        <w:t>2.4 Disclosure Conventions</w:t>
      </w:r>
    </w:p>
    <w:p w14:paraId="584DFEF9" w14:textId="77777777" w:rsidR="00637BF6" w:rsidRPr="00C93723" w:rsidRDefault="00000000">
      <w:pPr>
        <w:spacing w:after="200" w:line="276" w:lineRule="auto"/>
        <w:jc w:val="both"/>
      </w:pPr>
      <w:r w:rsidRPr="00C93723">
        <w:rPr>
          <w:rFonts w:eastAsia="Calibri"/>
          <w:sz w:val="22"/>
          <w:szCs w:val="22"/>
        </w:rPr>
        <w:t>Independent of tooling, a convergent convention has emerged across major open-source projects, including the Linux kernel, for disclosing AI assistance in commit messages through a dedicated trailer, distinct from the human co-authorship trailer already used by Git hosting platforms. This convention deliberately avoids attributing shared authorship credit to an AI tool, on the basis that accountability, unlike assistance, cannot be held by a model, and reserves certification trailers exclusively for human contributors. This principle, that the human directing an AI-assisted change remains its sole accountable author regardless of the mechanical origin of the text, is a foundational assumption Vouchcode adopts and extends by requiring that accountability be demonstrated rather than merely asserted.</w:t>
      </w:r>
    </w:p>
    <w:p w14:paraId="433B7A09" w14:textId="77777777" w:rsidR="00637BF6" w:rsidRPr="00C93723" w:rsidRDefault="00000000">
      <w:pPr>
        <w:pStyle w:val="Heading2"/>
        <w:spacing w:before="300" w:after="150"/>
        <w:rPr>
          <w:color w:val="auto"/>
        </w:rPr>
      </w:pPr>
      <w:r w:rsidRPr="00C93723">
        <w:rPr>
          <w:rFonts w:eastAsia="Calibri"/>
          <w:color w:val="auto"/>
        </w:rPr>
        <w:t>2.5 Supply Chain Attestation Standards</w:t>
      </w:r>
    </w:p>
    <w:p w14:paraId="5BC59478" w14:textId="77777777" w:rsidR="00637BF6" w:rsidRPr="00C93723" w:rsidRDefault="00000000">
      <w:pPr>
        <w:spacing w:after="200" w:line="276" w:lineRule="auto"/>
        <w:jc w:val="both"/>
      </w:pPr>
      <w:r w:rsidRPr="00C93723">
        <w:rPr>
          <w:rFonts w:eastAsia="Calibri"/>
          <w:sz w:val="22"/>
          <w:szCs w:val="22"/>
        </w:rPr>
        <w:t>At the infrastructure level, frameworks such as SLSA and identity systems such as Sigstore provide cryptographic attestation of build provenance, binding ephemeral signing keys to verified identities so that a build artifact's origin can be independently verified. These standards currently lack a native field for AI authorship, focusing instead on the identity of the human or automated system that performed a build or release action. Vouchcode's provenance ledger is designed in the spirit of this attestation model, applying comparable cryptographic rigor at the commit level rather than the release level.</w:t>
      </w:r>
    </w:p>
    <w:p w14:paraId="45DD9A55" w14:textId="77777777" w:rsidR="00637BF6" w:rsidRPr="00C93723" w:rsidRDefault="00000000">
      <w:pPr>
        <w:pStyle w:val="Heading2"/>
        <w:spacing w:before="300" w:after="150"/>
        <w:rPr>
          <w:color w:val="auto"/>
        </w:rPr>
      </w:pPr>
      <w:r w:rsidRPr="00C93723">
        <w:rPr>
          <w:rFonts w:eastAsia="Calibri"/>
          <w:color w:val="auto"/>
        </w:rPr>
        <w:t>2.6 Research Gap</w:t>
      </w:r>
    </w:p>
    <w:p w14:paraId="61768771" w14:textId="77777777" w:rsidR="00637BF6" w:rsidRPr="00C93723" w:rsidRDefault="00000000">
      <w:pPr>
        <w:spacing w:after="200" w:line="276" w:lineRule="auto"/>
        <w:jc w:val="both"/>
      </w:pPr>
      <w:r w:rsidRPr="00C93723">
        <w:rPr>
          <w:rFonts w:eastAsia="Calibri"/>
          <w:sz w:val="22"/>
          <w:szCs w:val="22"/>
        </w:rPr>
        <w:t>Across all categories surveyed, no existing system requires or verifies developer comprehension of AI-generated code as a condition of provenance recording. Every existing mechanism, whether enterprise platform, endpoint agent, open-source CLI tool, or disclosure convention, terminates at the question of origin. None extend to the question of understanding. This is the specific gap Vouchcode addresses.</w:t>
      </w:r>
    </w:p>
    <w:p w14:paraId="1B36EEB7" w14:textId="77777777" w:rsidR="00637BF6" w:rsidRPr="00C93723" w:rsidRDefault="00000000">
      <w:pPr>
        <w:pStyle w:val="Heading1"/>
        <w:spacing w:before="400" w:after="200"/>
        <w:rPr>
          <w:color w:val="auto"/>
        </w:rPr>
      </w:pPr>
      <w:r w:rsidRPr="00C93723">
        <w:rPr>
          <w:rFonts w:eastAsia="Calibri"/>
          <w:color w:val="auto"/>
        </w:rPr>
        <w:t>3. System Overview</w:t>
      </w:r>
    </w:p>
    <w:p w14:paraId="2570B534" w14:textId="77777777" w:rsidR="00637BF6" w:rsidRPr="00C93723" w:rsidRDefault="00000000">
      <w:pPr>
        <w:pStyle w:val="Heading2"/>
        <w:spacing w:before="300" w:after="150"/>
        <w:rPr>
          <w:color w:val="auto"/>
        </w:rPr>
      </w:pPr>
      <w:r w:rsidRPr="00C93723">
        <w:rPr>
          <w:rFonts w:eastAsia="Calibri"/>
          <w:color w:val="auto"/>
        </w:rPr>
        <w:lastRenderedPageBreak/>
        <w:t>3.1 Design Principles</w:t>
      </w:r>
    </w:p>
    <w:p w14:paraId="6FE453BF" w14:textId="77777777" w:rsidR="00637BF6" w:rsidRPr="00C93723" w:rsidRDefault="00000000">
      <w:pPr>
        <w:pStyle w:val="ListParagraph"/>
        <w:numPr>
          <w:ilvl w:val="0"/>
          <w:numId w:val="3"/>
        </w:numPr>
        <w:spacing w:after="100"/>
      </w:pPr>
      <w:r w:rsidRPr="00C93723">
        <w:rPr>
          <w:rFonts w:eastAsia="Calibri"/>
          <w:sz w:val="22"/>
          <w:szCs w:val="22"/>
        </w:rPr>
        <w:t>Local-first: all analysis, signing, and storage occur on the developer's machine; no source code or provenance data is transmitted to a third-party service.</w:t>
      </w:r>
    </w:p>
    <w:p w14:paraId="256DA7A5" w14:textId="77777777" w:rsidR="00637BF6" w:rsidRPr="00C93723" w:rsidRDefault="00000000">
      <w:pPr>
        <w:pStyle w:val="ListParagraph"/>
        <w:numPr>
          <w:ilvl w:val="0"/>
          <w:numId w:val="3"/>
        </w:numPr>
        <w:spacing w:after="100"/>
      </w:pPr>
      <w:r w:rsidRPr="00C93723">
        <w:rPr>
          <w:rFonts w:eastAsia="Calibri"/>
          <w:sz w:val="22"/>
          <w:szCs w:val="22"/>
        </w:rPr>
        <w:t>Verify before trust: AI-generated code is not treated as accepted until the responsible developer demonstrates structural understanding of it.</w:t>
      </w:r>
    </w:p>
    <w:p w14:paraId="7AC53616" w14:textId="77777777" w:rsidR="00637BF6" w:rsidRPr="00C93723" w:rsidRDefault="00000000">
      <w:pPr>
        <w:pStyle w:val="ListParagraph"/>
        <w:numPr>
          <w:ilvl w:val="0"/>
          <w:numId w:val="3"/>
        </w:numPr>
        <w:spacing w:after="100"/>
      </w:pPr>
      <w:r w:rsidRPr="00C93723">
        <w:rPr>
          <w:rFonts w:eastAsia="Calibri"/>
          <w:sz w:val="22"/>
          <w:szCs w:val="22"/>
        </w:rPr>
        <w:t>Zero external model dependency: comprehension questions are derived deterministically from abstract syntax tree analysis of the code itself, not generated by a call to an external large language model, preserving both privacy and reproducibility.</w:t>
      </w:r>
    </w:p>
    <w:p w14:paraId="7AB8DF54" w14:textId="77777777" w:rsidR="00637BF6" w:rsidRPr="00C93723" w:rsidRDefault="00000000">
      <w:pPr>
        <w:pStyle w:val="ListParagraph"/>
        <w:numPr>
          <w:ilvl w:val="0"/>
          <w:numId w:val="3"/>
        </w:numPr>
        <w:spacing w:after="100"/>
      </w:pPr>
      <w:r w:rsidRPr="00C93723">
        <w:rPr>
          <w:rFonts w:eastAsia="Calibri"/>
          <w:sz w:val="22"/>
          <w:szCs w:val="22"/>
        </w:rPr>
        <w:t>Minimal deployment friction: installation and initialization are reducible to a single command, with no account creation or organizational onboarding required.</w:t>
      </w:r>
    </w:p>
    <w:p w14:paraId="215C84BD" w14:textId="77777777" w:rsidR="00637BF6" w:rsidRPr="00C93723" w:rsidRDefault="00000000">
      <w:pPr>
        <w:pStyle w:val="ListParagraph"/>
        <w:numPr>
          <w:ilvl w:val="0"/>
          <w:numId w:val="3"/>
        </w:numPr>
        <w:spacing w:after="100"/>
      </w:pPr>
      <w:r w:rsidRPr="00C93723">
        <w:rPr>
          <w:rFonts w:eastAsia="Calibri"/>
          <w:sz w:val="22"/>
          <w:szCs w:val="22"/>
        </w:rPr>
        <w:t>Portability of proof: the system's output is a self-contained, cryptographically verifiable artifact that a third party can check without installing Vouchcode itself.</w:t>
      </w:r>
    </w:p>
    <w:p w14:paraId="755D1DCD" w14:textId="77777777" w:rsidR="00637BF6" w:rsidRPr="00C93723" w:rsidRDefault="00000000">
      <w:pPr>
        <w:pStyle w:val="Heading2"/>
        <w:spacing w:before="300" w:after="150"/>
        <w:rPr>
          <w:color w:val="auto"/>
        </w:rPr>
      </w:pPr>
      <w:r w:rsidRPr="00C93723">
        <w:rPr>
          <w:rFonts w:eastAsia="Calibri"/>
          <w:color w:val="auto"/>
        </w:rPr>
        <w:t>3.2 High-Level Architecture</w:t>
      </w:r>
    </w:p>
    <w:p w14:paraId="104D24D5" w14:textId="77777777" w:rsidR="00637BF6" w:rsidRPr="00C93723" w:rsidRDefault="00000000">
      <w:pPr>
        <w:spacing w:after="200" w:line="276" w:lineRule="auto"/>
        <w:jc w:val="both"/>
      </w:pPr>
      <w:r w:rsidRPr="00C93723">
        <w:rPr>
          <w:rFonts w:eastAsia="Calibri"/>
          <w:sz w:val="22"/>
          <w:szCs w:val="22"/>
        </w:rPr>
        <w:t>Vouchcode is structured as five cooperating layers, each corresponding to a discrete stage in the pipeline from code generation to verifiable report.</w:t>
      </w:r>
    </w:p>
    <w:p w14:paraId="7A8AAD75" w14:textId="77777777" w:rsidR="00637BF6" w:rsidRPr="00C93723" w:rsidRDefault="00000000">
      <w:pPr>
        <w:pStyle w:val="ListParagraph"/>
        <w:numPr>
          <w:ilvl w:val="0"/>
          <w:numId w:val="2"/>
        </w:numPr>
        <w:spacing w:after="100"/>
      </w:pPr>
      <w:r w:rsidRPr="00C93723">
        <w:rPr>
          <w:rFonts w:eastAsia="Calibri"/>
          <w:sz w:val="22"/>
          <w:szCs w:val="22"/>
        </w:rPr>
        <w:t>Capture Layer: git hooks installed at repository initialization detect commit events and, where available, associated AI tool session signals.</w:t>
      </w:r>
    </w:p>
    <w:p w14:paraId="352D568B" w14:textId="77777777" w:rsidR="00637BF6" w:rsidRPr="00C93723" w:rsidRDefault="00000000">
      <w:pPr>
        <w:pStyle w:val="ListParagraph"/>
        <w:numPr>
          <w:ilvl w:val="0"/>
          <w:numId w:val="2"/>
        </w:numPr>
        <w:spacing w:after="100"/>
      </w:pPr>
      <w:r w:rsidRPr="00C93723">
        <w:rPr>
          <w:rFonts w:eastAsia="Calibri"/>
          <w:sz w:val="22"/>
          <w:szCs w:val="22"/>
        </w:rPr>
        <w:t>Segmentation Layer: each captured diff is parsed into an abstract syntax tree and segmented into function- or block-level hunks, rather than raw line ranges, so that attribution aligns with logical units of code.</w:t>
      </w:r>
    </w:p>
    <w:p w14:paraId="275DE1D9" w14:textId="77777777" w:rsidR="00637BF6" w:rsidRPr="00C93723" w:rsidRDefault="00000000">
      <w:pPr>
        <w:pStyle w:val="ListParagraph"/>
        <w:numPr>
          <w:ilvl w:val="0"/>
          <w:numId w:val="2"/>
        </w:numPr>
        <w:spacing w:after="100"/>
      </w:pPr>
      <w:r w:rsidRPr="00C93723">
        <w:rPr>
          <w:rFonts w:eastAsia="Calibri"/>
          <w:sz w:val="22"/>
          <w:szCs w:val="22"/>
        </w:rPr>
        <w:t>Comprehension Layer: hunks attributed to AI generation are passed to a question-generation engine that derives targeted, structurally grounded questions from the hunk's control flow, and scores the developer's terminal-entered responses against facts extracted from the AST.</w:t>
      </w:r>
    </w:p>
    <w:p w14:paraId="57AE0305" w14:textId="77777777" w:rsidR="00637BF6" w:rsidRPr="00C93723" w:rsidRDefault="00000000">
      <w:pPr>
        <w:pStyle w:val="ListParagraph"/>
        <w:numPr>
          <w:ilvl w:val="0"/>
          <w:numId w:val="2"/>
        </w:numPr>
        <w:spacing w:after="100"/>
      </w:pPr>
      <w:r w:rsidRPr="00C93723">
        <w:rPr>
          <w:rFonts w:eastAsia="Calibri"/>
          <w:sz w:val="22"/>
          <w:szCs w:val="22"/>
        </w:rPr>
        <w:t>Ledger Layer: the outcome of each commit, comprising attribution percentages and comprehension scores, is appended to a hash-chained, Ed25519-signed local ledger, rendering the history tamper-evident.</w:t>
      </w:r>
    </w:p>
    <w:p w14:paraId="49B6B1B4" w14:textId="77777777" w:rsidR="00637BF6" w:rsidRPr="00C93723" w:rsidRDefault="00000000">
      <w:pPr>
        <w:pStyle w:val="ListParagraph"/>
        <w:numPr>
          <w:ilvl w:val="0"/>
          <w:numId w:val="2"/>
        </w:numPr>
        <w:spacing w:after="100"/>
      </w:pPr>
      <w:r w:rsidRPr="00C93723">
        <w:rPr>
          <w:rFonts w:eastAsia="Calibri"/>
          <w:sz w:val="22"/>
          <w:szCs w:val="22"/>
        </w:rPr>
        <w:t>Reporting Layer: on request, the ledger is compiled into a signed JSON artifact and a human-readable PDF summary, both independently verifiable offline.</w:t>
      </w:r>
    </w:p>
    <w:p w14:paraId="00CC2CE6" w14:textId="77777777" w:rsidR="00637BF6" w:rsidRPr="00C93723" w:rsidRDefault="00000000">
      <w:pPr>
        <w:pStyle w:val="Heading1"/>
        <w:spacing w:before="400" w:after="200"/>
        <w:rPr>
          <w:color w:val="auto"/>
        </w:rPr>
      </w:pPr>
      <w:r w:rsidRPr="00C93723">
        <w:rPr>
          <w:rFonts w:eastAsia="Calibri"/>
          <w:color w:val="auto"/>
        </w:rPr>
        <w:t>4. Methodology</w:t>
      </w:r>
    </w:p>
    <w:p w14:paraId="33E31340" w14:textId="77777777" w:rsidR="00637BF6" w:rsidRPr="00C93723" w:rsidRDefault="00000000">
      <w:pPr>
        <w:pStyle w:val="Heading2"/>
        <w:spacing w:before="300" w:after="150"/>
        <w:rPr>
          <w:color w:val="auto"/>
        </w:rPr>
      </w:pPr>
      <w:r w:rsidRPr="00C93723">
        <w:rPr>
          <w:rFonts w:eastAsia="Calibri"/>
          <w:color w:val="auto"/>
        </w:rPr>
        <w:t>4.1 Capture Layer</w:t>
      </w:r>
    </w:p>
    <w:p w14:paraId="296651B9" w14:textId="77777777" w:rsidR="00637BF6" w:rsidRPr="00C93723" w:rsidRDefault="00000000">
      <w:pPr>
        <w:spacing w:after="200" w:line="276" w:lineRule="auto"/>
        <w:jc w:val="both"/>
      </w:pPr>
      <w:r w:rsidRPr="00C93723">
        <w:rPr>
          <w:rFonts w:eastAsia="Calibri"/>
          <w:sz w:val="22"/>
          <w:szCs w:val="22"/>
        </w:rPr>
        <w:t>The capture layer relies on standard Git hook points, specifically pre-commit and post-commit, to intercept staged changes before they are finalized. Where a supported AI coding assistant exposes session or acceptance metadata, such as Claude Code or GitHub Copilot, this signal is used as the primary attribution source. In the absence of a direct tool signal, for example when a developer pastes AI-generated code from a chat interface rather than an integrated assistant, the capture layer falls back to a stylometric heuristic model, comparing the statistical characteristics of the new code, including variable naming entropy, comment density, and structural regularity, against a baseline established from the developer's own prior commits in the repository.</w:t>
      </w:r>
    </w:p>
    <w:p w14:paraId="5559F285" w14:textId="77777777" w:rsidR="00637BF6" w:rsidRPr="00C93723" w:rsidRDefault="00000000">
      <w:pPr>
        <w:pStyle w:val="Heading2"/>
        <w:spacing w:before="300" w:after="150"/>
        <w:rPr>
          <w:color w:val="auto"/>
        </w:rPr>
      </w:pPr>
      <w:r w:rsidRPr="00C93723">
        <w:rPr>
          <w:rFonts w:eastAsia="Calibri"/>
          <w:color w:val="auto"/>
        </w:rPr>
        <w:lastRenderedPageBreak/>
        <w:t>4.2 AST-Based Diff Segmentation</w:t>
      </w:r>
    </w:p>
    <w:p w14:paraId="76B9C55F" w14:textId="77777777" w:rsidR="00637BF6" w:rsidRPr="00C93723" w:rsidRDefault="00000000">
      <w:pPr>
        <w:spacing w:after="200" w:line="276" w:lineRule="auto"/>
        <w:jc w:val="both"/>
      </w:pPr>
      <w:r w:rsidRPr="00C93723">
        <w:rPr>
          <w:rFonts w:eastAsia="Calibri"/>
          <w:sz w:val="22"/>
          <w:szCs w:val="22"/>
        </w:rPr>
        <w:t>Rather than operating on raw line diffs, which frequently misattribute formatting or whitespace changes and fragment single logical edits across multiple line ranges, the segmentation layer parses the pre- and post-commit versions of each modified file into abstract syntax trees using Python's built-in ast module. Structural comparison of the two trees isolates changed function and block definitions, producing hunks that correspond to coherent units of logic. Each hunk is independently tagged with an attribution source and confidence level.</w:t>
      </w:r>
    </w:p>
    <w:p w14:paraId="4FD5C8FE" w14:textId="77777777" w:rsidR="00637BF6" w:rsidRPr="00C93723" w:rsidRDefault="00000000">
      <w:pPr>
        <w:pStyle w:val="Heading2"/>
        <w:spacing w:before="300" w:after="150"/>
        <w:rPr>
          <w:color w:val="auto"/>
        </w:rPr>
      </w:pPr>
      <w:r w:rsidRPr="00C93723">
        <w:rPr>
          <w:rFonts w:eastAsia="Calibri"/>
          <w:color w:val="auto"/>
        </w:rPr>
        <w:t>4.3 Comprehension Verification Engine</w:t>
      </w:r>
    </w:p>
    <w:p w14:paraId="578C9F4C" w14:textId="77777777" w:rsidR="00637BF6" w:rsidRPr="00C93723" w:rsidRDefault="00000000">
      <w:pPr>
        <w:spacing w:after="200" w:line="276" w:lineRule="auto"/>
        <w:jc w:val="both"/>
      </w:pPr>
      <w:r w:rsidRPr="00C93723">
        <w:rPr>
          <w:rFonts w:eastAsia="Calibri"/>
          <w:sz w:val="22"/>
          <w:szCs w:val="22"/>
        </w:rPr>
        <w:t>For each hunk attributed to AI generation, the comprehension engine analyzes the hunk's control flow graph to identify verifiable structural facts, such as the condition governing a branch, the termination condition of a loop, or the exception type handled by a catch block. From these facts, the engine generates natural-language questions of the form illustrated below, without invoking any external language model.</w:t>
      </w:r>
    </w:p>
    <w:p w14:paraId="48C81D72" w14:textId="77777777" w:rsidR="00637BF6" w:rsidRPr="00C93723" w:rsidRDefault="00000000">
      <w:pPr>
        <w:pStyle w:val="ListParagraph"/>
        <w:numPr>
          <w:ilvl w:val="0"/>
          <w:numId w:val="3"/>
        </w:numPr>
        <w:spacing w:after="100"/>
      </w:pPr>
      <w:r w:rsidRPr="00C93723">
        <w:rPr>
          <w:rFonts w:eastAsia="Calibri"/>
          <w:sz w:val="22"/>
          <w:szCs w:val="22"/>
        </w:rPr>
        <w:t>Branching logic: what does this function return when the guarding condition evaluates to false?</w:t>
      </w:r>
    </w:p>
    <w:p w14:paraId="401E7B67" w14:textId="77777777" w:rsidR="00637BF6" w:rsidRPr="00C93723" w:rsidRDefault="00000000">
      <w:pPr>
        <w:pStyle w:val="ListParagraph"/>
        <w:numPr>
          <w:ilvl w:val="0"/>
          <w:numId w:val="3"/>
        </w:numPr>
        <w:spacing w:after="100"/>
      </w:pPr>
      <w:r w:rsidRPr="00C93723">
        <w:rPr>
          <w:rFonts w:eastAsia="Calibri"/>
          <w:sz w:val="22"/>
          <w:szCs w:val="22"/>
        </w:rPr>
        <w:t>Iteration: what happens if the collection being iterated over is empty?</w:t>
      </w:r>
    </w:p>
    <w:p w14:paraId="6C70E1DA" w14:textId="77777777" w:rsidR="00637BF6" w:rsidRPr="00C93723" w:rsidRDefault="00000000">
      <w:pPr>
        <w:pStyle w:val="ListParagraph"/>
        <w:numPr>
          <w:ilvl w:val="0"/>
          <w:numId w:val="3"/>
        </w:numPr>
        <w:spacing w:after="100"/>
      </w:pPr>
      <w:r w:rsidRPr="00C93723">
        <w:rPr>
          <w:rFonts w:eastAsia="Calibri"/>
          <w:sz w:val="22"/>
          <w:szCs w:val="22"/>
        </w:rPr>
        <w:t>Exception handling: which specific error condition triggers this exception path, and what is the fallback behavior?</w:t>
      </w:r>
    </w:p>
    <w:p w14:paraId="41955451" w14:textId="77777777" w:rsidR="00637BF6" w:rsidRPr="00C93723" w:rsidRDefault="00000000">
      <w:pPr>
        <w:spacing w:after="200" w:line="276" w:lineRule="auto"/>
        <w:jc w:val="both"/>
      </w:pPr>
      <w:r w:rsidRPr="00C93723">
        <w:rPr>
          <w:rFonts w:eastAsia="Calibri"/>
          <w:sz w:val="22"/>
          <w:szCs w:val="22"/>
        </w:rPr>
        <w:t>The developer answers each question through a terminal prompt built on the Rich library, and the response is scored by matching key structural terms against the facts extracted in the analysis step, rather than by semantic similarity to a model-generated reference answer. This keeps scoring deterministic, reproducible, and free of the variability associated with generative scoring methods, at the cost of tolerating less linguistic flexibility in acceptable answers, a tradeoff discussed further in Section 9.</w:t>
      </w:r>
    </w:p>
    <w:p w14:paraId="18D08577" w14:textId="77777777" w:rsidR="00637BF6" w:rsidRPr="00C93723" w:rsidRDefault="00000000">
      <w:pPr>
        <w:pStyle w:val="Heading2"/>
        <w:spacing w:before="300" w:after="150"/>
        <w:rPr>
          <w:color w:val="auto"/>
        </w:rPr>
      </w:pPr>
      <w:r w:rsidRPr="00C93723">
        <w:rPr>
          <w:rFonts w:eastAsia="Calibri"/>
          <w:color w:val="auto"/>
        </w:rPr>
        <w:t>4.4 Cryptographic Provenance Ledger</w:t>
      </w:r>
    </w:p>
    <w:p w14:paraId="129CD823" w14:textId="77777777" w:rsidR="00637BF6" w:rsidRPr="00C93723" w:rsidRDefault="00000000">
      <w:pPr>
        <w:spacing w:after="200" w:line="276" w:lineRule="auto"/>
        <w:jc w:val="both"/>
      </w:pPr>
      <w:r w:rsidRPr="00C93723">
        <w:rPr>
          <w:rFonts w:eastAsia="Calibri"/>
          <w:sz w:val="22"/>
          <w:szCs w:val="22"/>
        </w:rPr>
        <w:t>Every completed commit cycle, comprising attribution results and comprehension outcomes, is serialized and appended to a local ledger structured as a hash chain, in which each entry incorporates the cryptographic hash of the preceding entry. Each entry is additionally signed using an Ed25519 keypair generated and held locally by the developer. This construction ensures that any retroactive alteration of a ledger entry is detectable, since it would invalidate the hash chain from that point forward, providing tamper evidence comparable in principle to the attestation guarantees offered by supply chain security frameworks such as Sigstore, while remaining entirely self-hosted.</w:t>
      </w:r>
    </w:p>
    <w:p w14:paraId="261C6925" w14:textId="77777777" w:rsidR="00637BF6" w:rsidRPr="00C93723" w:rsidRDefault="00000000">
      <w:pPr>
        <w:pStyle w:val="Heading2"/>
        <w:spacing w:before="300" w:after="150"/>
        <w:rPr>
          <w:color w:val="auto"/>
        </w:rPr>
      </w:pPr>
      <w:r w:rsidRPr="00C93723">
        <w:rPr>
          <w:rFonts w:eastAsia="Calibri"/>
          <w:color w:val="auto"/>
        </w:rPr>
        <w:t>4.5 Report Generation</w:t>
      </w:r>
    </w:p>
    <w:p w14:paraId="2AFA6D49" w14:textId="77777777" w:rsidR="00637BF6" w:rsidRPr="00C93723" w:rsidRDefault="00000000">
      <w:pPr>
        <w:spacing w:after="200" w:line="276" w:lineRule="auto"/>
        <w:jc w:val="both"/>
      </w:pPr>
      <w:r w:rsidRPr="00C93723">
        <w:rPr>
          <w:rFonts w:eastAsia="Calibri"/>
          <w:sz w:val="22"/>
          <w:szCs w:val="22"/>
        </w:rPr>
        <w:t>On request, the reporting layer compiles the full ledger, or a specified commit range, into two artifacts: a machine-readable JSON document containing the signed ledger data, and a human-readable PDF summarizing aggregate authorship percentages and comprehension scores across the repository's history. Both artifacts embed the public key required to verify the Ed25519 signatures, allowing any recipient, such as an academic reviewer or hiring manager, to confirm the report's integrity without installing Vouchcode or trusting the reporting party's word alone. A retroactive scan mode additionally allows the heuristic component of the capture layer to be applied to a repository's existing commit history, producing a best-effort report for repositories that adopted Vouchcode after development began.</w:t>
      </w:r>
    </w:p>
    <w:p w14:paraId="643F4FE0" w14:textId="77777777" w:rsidR="00637BF6" w:rsidRPr="00C93723" w:rsidRDefault="00000000">
      <w:pPr>
        <w:pStyle w:val="Heading1"/>
        <w:spacing w:before="400" w:after="200"/>
        <w:rPr>
          <w:color w:val="auto"/>
        </w:rPr>
      </w:pPr>
      <w:r w:rsidRPr="00C93723">
        <w:rPr>
          <w:rFonts w:eastAsia="Calibri"/>
          <w:color w:val="auto"/>
        </w:rPr>
        <w:lastRenderedPageBreak/>
        <w:t>5. Implementation Plan</w:t>
      </w:r>
    </w:p>
    <w:p w14:paraId="6BE833B7" w14:textId="77777777" w:rsidR="00637BF6" w:rsidRPr="00C93723" w:rsidRDefault="00000000">
      <w:pPr>
        <w:spacing w:after="200" w:line="276" w:lineRule="auto"/>
        <w:jc w:val="both"/>
      </w:pPr>
      <w:r w:rsidRPr="00C93723">
        <w:rPr>
          <w:rFonts w:eastAsia="Calibri"/>
          <w:sz w:val="22"/>
          <w:szCs w:val="22"/>
        </w:rPr>
        <w:t>Development is organized into six phases across a twenty-five-day build window, summarized in the table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50"/>
      </w:tblGrid>
      <w:tr w:rsidR="00637BF6" w:rsidRPr="00C93723" w14:paraId="03F4F766" w14:textId="77777777">
        <w:tblPrEx>
          <w:tblCellMar>
            <w:top w:w="0" w:type="dxa"/>
            <w:bottom w:w="0" w:type="dxa"/>
          </w:tblCellMar>
        </w:tblPrEx>
        <w:trPr>
          <w:tblHeader/>
        </w:trPr>
        <w:tc>
          <w:tcPr>
            <w:tcW w:w="1600" w:type="dxa"/>
            <w:shd w:val="clear" w:color="auto" w:fill="1F3864"/>
            <w:tcMar>
              <w:top w:w="100" w:type="dxa"/>
              <w:left w:w="100" w:type="dxa"/>
              <w:bottom w:w="100" w:type="dxa"/>
              <w:right w:w="100" w:type="dxa"/>
            </w:tcMar>
          </w:tcPr>
          <w:p w14:paraId="4614F089" w14:textId="77777777" w:rsidR="00637BF6" w:rsidRPr="00C93723" w:rsidRDefault="00000000">
            <w:r w:rsidRPr="00C93723">
              <w:rPr>
                <w:rFonts w:eastAsia="Calibri"/>
                <w:b/>
                <w:bCs/>
              </w:rPr>
              <w:t>Phase</w:t>
            </w:r>
          </w:p>
        </w:tc>
        <w:tc>
          <w:tcPr>
            <w:tcW w:w="2000" w:type="dxa"/>
            <w:shd w:val="clear" w:color="auto" w:fill="1F3864"/>
            <w:tcMar>
              <w:top w:w="100" w:type="dxa"/>
              <w:left w:w="100" w:type="dxa"/>
              <w:bottom w:w="100" w:type="dxa"/>
              <w:right w:w="100" w:type="dxa"/>
            </w:tcMar>
          </w:tcPr>
          <w:p w14:paraId="2C5C97C1" w14:textId="77777777" w:rsidR="00637BF6" w:rsidRPr="00C93723" w:rsidRDefault="00000000">
            <w:r w:rsidRPr="00C93723">
              <w:rPr>
                <w:rFonts w:eastAsia="Calibri"/>
                <w:b/>
                <w:bCs/>
              </w:rPr>
              <w:t>Focus</w:t>
            </w:r>
          </w:p>
        </w:tc>
        <w:tc>
          <w:tcPr>
            <w:tcW w:w="5750" w:type="dxa"/>
            <w:shd w:val="clear" w:color="auto" w:fill="1F3864"/>
            <w:tcMar>
              <w:top w:w="100" w:type="dxa"/>
              <w:left w:w="100" w:type="dxa"/>
              <w:bottom w:w="100" w:type="dxa"/>
              <w:right w:w="100" w:type="dxa"/>
            </w:tcMar>
          </w:tcPr>
          <w:p w14:paraId="773694BC" w14:textId="77777777" w:rsidR="00637BF6" w:rsidRPr="00C93723" w:rsidRDefault="00000000">
            <w:r w:rsidRPr="00C93723">
              <w:rPr>
                <w:rFonts w:eastAsia="Calibri"/>
                <w:b/>
                <w:bCs/>
              </w:rPr>
              <w:t>Deliverable</w:t>
            </w:r>
          </w:p>
        </w:tc>
      </w:tr>
      <w:tr w:rsidR="00637BF6" w:rsidRPr="00C93723" w14:paraId="1D29DD5A" w14:textId="77777777">
        <w:tblPrEx>
          <w:tblCellMar>
            <w:top w:w="0" w:type="dxa"/>
            <w:bottom w:w="0" w:type="dxa"/>
          </w:tblCellMar>
        </w:tblPrEx>
        <w:tc>
          <w:tcPr>
            <w:tcW w:w="1600" w:type="dxa"/>
            <w:tcMar>
              <w:top w:w="100" w:type="dxa"/>
              <w:left w:w="100" w:type="dxa"/>
              <w:bottom w:w="100" w:type="dxa"/>
              <w:right w:w="100" w:type="dxa"/>
            </w:tcMar>
          </w:tcPr>
          <w:p w14:paraId="67C3A459" w14:textId="77777777" w:rsidR="00637BF6" w:rsidRPr="00C93723" w:rsidRDefault="00000000">
            <w:r w:rsidRPr="00C93723">
              <w:rPr>
                <w:rFonts w:eastAsia="Calibri"/>
              </w:rPr>
              <w:t>1</w:t>
            </w:r>
          </w:p>
        </w:tc>
        <w:tc>
          <w:tcPr>
            <w:tcW w:w="2000" w:type="dxa"/>
            <w:tcMar>
              <w:top w:w="100" w:type="dxa"/>
              <w:left w:w="100" w:type="dxa"/>
              <w:bottom w:w="100" w:type="dxa"/>
              <w:right w:w="100" w:type="dxa"/>
            </w:tcMar>
          </w:tcPr>
          <w:p w14:paraId="5784CF2F" w14:textId="77777777" w:rsidR="00637BF6" w:rsidRPr="00C93723" w:rsidRDefault="00000000">
            <w:r w:rsidRPr="00C93723">
              <w:rPr>
                <w:rFonts w:eastAsia="Calibri"/>
              </w:rPr>
              <w:t>Foundation</w:t>
            </w:r>
          </w:p>
        </w:tc>
        <w:tc>
          <w:tcPr>
            <w:tcW w:w="5750" w:type="dxa"/>
            <w:tcMar>
              <w:top w:w="100" w:type="dxa"/>
              <w:left w:w="100" w:type="dxa"/>
              <w:bottom w:w="100" w:type="dxa"/>
              <w:right w:w="100" w:type="dxa"/>
            </w:tcMar>
          </w:tcPr>
          <w:p w14:paraId="1D0D2AA6" w14:textId="77777777" w:rsidR="00637BF6" w:rsidRPr="00C93723" w:rsidRDefault="00000000">
            <w:r w:rsidRPr="00C93723">
              <w:rPr>
                <w:rFonts w:eastAsia="Calibri"/>
              </w:rPr>
              <w:t>CLI skeleton, hook installation, raw attribution capture into a local JSON ledger.</w:t>
            </w:r>
          </w:p>
        </w:tc>
      </w:tr>
      <w:tr w:rsidR="00637BF6" w:rsidRPr="00C93723" w14:paraId="3EF4473F" w14:textId="77777777">
        <w:tblPrEx>
          <w:tblCellMar>
            <w:top w:w="0" w:type="dxa"/>
            <w:bottom w:w="0" w:type="dxa"/>
          </w:tblCellMar>
        </w:tblPrEx>
        <w:tc>
          <w:tcPr>
            <w:tcW w:w="1600" w:type="dxa"/>
            <w:tcMar>
              <w:top w:w="100" w:type="dxa"/>
              <w:left w:w="100" w:type="dxa"/>
              <w:bottom w:w="100" w:type="dxa"/>
              <w:right w:w="100" w:type="dxa"/>
            </w:tcMar>
          </w:tcPr>
          <w:p w14:paraId="6A1D7E44" w14:textId="77777777" w:rsidR="00637BF6" w:rsidRPr="00C93723" w:rsidRDefault="00000000">
            <w:r w:rsidRPr="00C93723">
              <w:rPr>
                <w:rFonts w:eastAsia="Calibri"/>
              </w:rPr>
              <w:t>2</w:t>
            </w:r>
          </w:p>
        </w:tc>
        <w:tc>
          <w:tcPr>
            <w:tcW w:w="2000" w:type="dxa"/>
            <w:tcMar>
              <w:top w:w="100" w:type="dxa"/>
              <w:left w:w="100" w:type="dxa"/>
              <w:bottom w:w="100" w:type="dxa"/>
              <w:right w:w="100" w:type="dxa"/>
            </w:tcMar>
          </w:tcPr>
          <w:p w14:paraId="0881D5DE" w14:textId="77777777" w:rsidR="00637BF6" w:rsidRPr="00C93723" w:rsidRDefault="00000000">
            <w:r w:rsidRPr="00C93723">
              <w:rPr>
                <w:rFonts w:eastAsia="Calibri"/>
              </w:rPr>
              <w:t>Segmentation</w:t>
            </w:r>
          </w:p>
        </w:tc>
        <w:tc>
          <w:tcPr>
            <w:tcW w:w="5750" w:type="dxa"/>
            <w:tcMar>
              <w:top w:w="100" w:type="dxa"/>
              <w:left w:w="100" w:type="dxa"/>
              <w:bottom w:w="100" w:type="dxa"/>
              <w:right w:w="100" w:type="dxa"/>
            </w:tcMar>
          </w:tcPr>
          <w:p w14:paraId="77F64CFC" w14:textId="77777777" w:rsidR="00637BF6" w:rsidRPr="00C93723" w:rsidRDefault="00000000">
            <w:r w:rsidRPr="00C93723">
              <w:rPr>
                <w:rFonts w:eastAsia="Calibri"/>
              </w:rPr>
              <w:t>AST-based diff segmentation and hunk-level attribution tagging.</w:t>
            </w:r>
          </w:p>
        </w:tc>
      </w:tr>
      <w:tr w:rsidR="00637BF6" w:rsidRPr="00C93723" w14:paraId="38E9A0CA" w14:textId="77777777">
        <w:tblPrEx>
          <w:tblCellMar>
            <w:top w:w="0" w:type="dxa"/>
            <w:bottom w:w="0" w:type="dxa"/>
          </w:tblCellMar>
        </w:tblPrEx>
        <w:tc>
          <w:tcPr>
            <w:tcW w:w="1600" w:type="dxa"/>
            <w:tcMar>
              <w:top w:w="100" w:type="dxa"/>
              <w:left w:w="100" w:type="dxa"/>
              <w:bottom w:w="100" w:type="dxa"/>
              <w:right w:w="100" w:type="dxa"/>
            </w:tcMar>
          </w:tcPr>
          <w:p w14:paraId="3C5E24B6" w14:textId="77777777" w:rsidR="00637BF6" w:rsidRPr="00C93723" w:rsidRDefault="00000000">
            <w:r w:rsidRPr="00C93723">
              <w:rPr>
                <w:rFonts w:eastAsia="Calibri"/>
              </w:rPr>
              <w:t>3</w:t>
            </w:r>
          </w:p>
        </w:tc>
        <w:tc>
          <w:tcPr>
            <w:tcW w:w="2000" w:type="dxa"/>
            <w:tcMar>
              <w:top w:w="100" w:type="dxa"/>
              <w:left w:w="100" w:type="dxa"/>
              <w:bottom w:w="100" w:type="dxa"/>
              <w:right w:w="100" w:type="dxa"/>
            </w:tcMar>
          </w:tcPr>
          <w:p w14:paraId="02B33862" w14:textId="77777777" w:rsidR="00637BF6" w:rsidRPr="00C93723" w:rsidRDefault="00000000">
            <w:r w:rsidRPr="00C93723">
              <w:rPr>
                <w:rFonts w:eastAsia="Calibri"/>
              </w:rPr>
              <w:t>Comprehension Engine</w:t>
            </w:r>
          </w:p>
        </w:tc>
        <w:tc>
          <w:tcPr>
            <w:tcW w:w="5750" w:type="dxa"/>
            <w:tcMar>
              <w:top w:w="100" w:type="dxa"/>
              <w:left w:w="100" w:type="dxa"/>
              <w:bottom w:w="100" w:type="dxa"/>
              <w:right w:w="100" w:type="dxa"/>
            </w:tcMar>
          </w:tcPr>
          <w:p w14:paraId="3086A80C" w14:textId="77777777" w:rsidR="00637BF6" w:rsidRPr="00C93723" w:rsidRDefault="00000000">
            <w:r w:rsidRPr="00C93723">
              <w:rPr>
                <w:rFonts w:eastAsia="Calibri"/>
              </w:rPr>
              <w:t>Deterministic question generation and terminal-based scoring against AST-derived facts.</w:t>
            </w:r>
          </w:p>
        </w:tc>
      </w:tr>
      <w:tr w:rsidR="00637BF6" w:rsidRPr="00C93723" w14:paraId="16228268" w14:textId="77777777">
        <w:tblPrEx>
          <w:tblCellMar>
            <w:top w:w="0" w:type="dxa"/>
            <w:bottom w:w="0" w:type="dxa"/>
          </w:tblCellMar>
        </w:tblPrEx>
        <w:tc>
          <w:tcPr>
            <w:tcW w:w="1600" w:type="dxa"/>
            <w:tcMar>
              <w:top w:w="100" w:type="dxa"/>
              <w:left w:w="100" w:type="dxa"/>
              <w:bottom w:w="100" w:type="dxa"/>
              <w:right w:w="100" w:type="dxa"/>
            </w:tcMar>
          </w:tcPr>
          <w:p w14:paraId="75CA3A59" w14:textId="77777777" w:rsidR="00637BF6" w:rsidRPr="00C93723" w:rsidRDefault="00000000">
            <w:r w:rsidRPr="00C93723">
              <w:rPr>
                <w:rFonts w:eastAsia="Calibri"/>
              </w:rPr>
              <w:t>4</w:t>
            </w:r>
          </w:p>
        </w:tc>
        <w:tc>
          <w:tcPr>
            <w:tcW w:w="2000" w:type="dxa"/>
            <w:tcMar>
              <w:top w:w="100" w:type="dxa"/>
              <w:left w:w="100" w:type="dxa"/>
              <w:bottom w:w="100" w:type="dxa"/>
              <w:right w:w="100" w:type="dxa"/>
            </w:tcMar>
          </w:tcPr>
          <w:p w14:paraId="6A2D67C8" w14:textId="77777777" w:rsidR="00637BF6" w:rsidRPr="00C93723" w:rsidRDefault="00000000">
            <w:r w:rsidRPr="00C93723">
              <w:rPr>
                <w:rFonts w:eastAsia="Calibri"/>
              </w:rPr>
              <w:t>Provenance Ledger</w:t>
            </w:r>
          </w:p>
        </w:tc>
        <w:tc>
          <w:tcPr>
            <w:tcW w:w="5750" w:type="dxa"/>
            <w:tcMar>
              <w:top w:w="100" w:type="dxa"/>
              <w:left w:w="100" w:type="dxa"/>
              <w:bottom w:w="100" w:type="dxa"/>
              <w:right w:w="100" w:type="dxa"/>
            </w:tcMar>
          </w:tcPr>
          <w:p w14:paraId="6AF362CF" w14:textId="77777777" w:rsidR="00637BF6" w:rsidRPr="00C93723" w:rsidRDefault="00000000">
            <w:r w:rsidRPr="00C93723">
              <w:rPr>
                <w:rFonts w:eastAsia="Calibri"/>
              </w:rPr>
              <w:t>Hash-chained, Ed25519-signed ledger with tamper detection on verification.</w:t>
            </w:r>
          </w:p>
        </w:tc>
      </w:tr>
      <w:tr w:rsidR="00637BF6" w:rsidRPr="00C93723" w14:paraId="63F54EFD" w14:textId="77777777">
        <w:tblPrEx>
          <w:tblCellMar>
            <w:top w:w="0" w:type="dxa"/>
            <w:bottom w:w="0" w:type="dxa"/>
          </w:tblCellMar>
        </w:tblPrEx>
        <w:tc>
          <w:tcPr>
            <w:tcW w:w="1600" w:type="dxa"/>
            <w:tcMar>
              <w:top w:w="100" w:type="dxa"/>
              <w:left w:w="100" w:type="dxa"/>
              <w:bottom w:w="100" w:type="dxa"/>
              <w:right w:w="100" w:type="dxa"/>
            </w:tcMar>
          </w:tcPr>
          <w:p w14:paraId="44F19624" w14:textId="77777777" w:rsidR="00637BF6" w:rsidRPr="00C93723" w:rsidRDefault="00000000">
            <w:r w:rsidRPr="00C93723">
              <w:rPr>
                <w:rFonts w:eastAsia="Calibri"/>
              </w:rPr>
              <w:t>5</w:t>
            </w:r>
          </w:p>
        </w:tc>
        <w:tc>
          <w:tcPr>
            <w:tcW w:w="2000" w:type="dxa"/>
            <w:tcMar>
              <w:top w:w="100" w:type="dxa"/>
              <w:left w:w="100" w:type="dxa"/>
              <w:bottom w:w="100" w:type="dxa"/>
              <w:right w:w="100" w:type="dxa"/>
            </w:tcMar>
          </w:tcPr>
          <w:p w14:paraId="0319AC10" w14:textId="77777777" w:rsidR="00637BF6" w:rsidRPr="00C93723" w:rsidRDefault="00000000">
            <w:r w:rsidRPr="00C93723">
              <w:rPr>
                <w:rFonts w:eastAsia="Calibri"/>
              </w:rPr>
              <w:t>Reporting</w:t>
            </w:r>
          </w:p>
        </w:tc>
        <w:tc>
          <w:tcPr>
            <w:tcW w:w="5750" w:type="dxa"/>
            <w:tcMar>
              <w:top w:w="100" w:type="dxa"/>
              <w:left w:w="100" w:type="dxa"/>
              <w:bottom w:w="100" w:type="dxa"/>
              <w:right w:w="100" w:type="dxa"/>
            </w:tcMar>
          </w:tcPr>
          <w:p w14:paraId="0AEA9225" w14:textId="77777777" w:rsidR="00637BF6" w:rsidRPr="00C93723" w:rsidRDefault="00000000">
            <w:r w:rsidRPr="00C93723">
              <w:rPr>
                <w:rFonts w:eastAsia="Calibri"/>
              </w:rPr>
              <w:t>Signed JSON and PDF report generation, plus retroactive repository scan mode.</w:t>
            </w:r>
          </w:p>
        </w:tc>
      </w:tr>
      <w:tr w:rsidR="00637BF6" w:rsidRPr="00C93723" w14:paraId="1A6FC4F6" w14:textId="77777777">
        <w:tblPrEx>
          <w:tblCellMar>
            <w:top w:w="0" w:type="dxa"/>
            <w:bottom w:w="0" w:type="dxa"/>
          </w:tblCellMar>
        </w:tblPrEx>
        <w:tc>
          <w:tcPr>
            <w:tcW w:w="1600" w:type="dxa"/>
            <w:tcMar>
              <w:top w:w="100" w:type="dxa"/>
              <w:left w:w="100" w:type="dxa"/>
              <w:bottom w:w="100" w:type="dxa"/>
              <w:right w:w="100" w:type="dxa"/>
            </w:tcMar>
          </w:tcPr>
          <w:p w14:paraId="54E41D8F" w14:textId="77777777" w:rsidR="00637BF6" w:rsidRPr="00C93723" w:rsidRDefault="00000000">
            <w:r w:rsidRPr="00C93723">
              <w:rPr>
                <w:rFonts w:eastAsia="Calibri"/>
              </w:rPr>
              <w:t>6</w:t>
            </w:r>
          </w:p>
        </w:tc>
        <w:tc>
          <w:tcPr>
            <w:tcW w:w="2000" w:type="dxa"/>
            <w:tcMar>
              <w:top w:w="100" w:type="dxa"/>
              <w:left w:w="100" w:type="dxa"/>
              <w:bottom w:w="100" w:type="dxa"/>
              <w:right w:w="100" w:type="dxa"/>
            </w:tcMar>
          </w:tcPr>
          <w:p w14:paraId="4E4EE9D0" w14:textId="77777777" w:rsidR="00637BF6" w:rsidRPr="00C93723" w:rsidRDefault="00000000">
            <w:r w:rsidRPr="00C93723">
              <w:rPr>
                <w:rFonts w:eastAsia="Calibri"/>
              </w:rPr>
              <w:t>Evaluation and Demonstration</w:t>
            </w:r>
          </w:p>
        </w:tc>
        <w:tc>
          <w:tcPr>
            <w:tcW w:w="5750" w:type="dxa"/>
            <w:tcMar>
              <w:top w:w="100" w:type="dxa"/>
              <w:left w:w="100" w:type="dxa"/>
              <w:bottom w:w="100" w:type="dxa"/>
              <w:right w:w="100" w:type="dxa"/>
            </w:tcMar>
          </w:tcPr>
          <w:p w14:paraId="446CBBDC" w14:textId="77777777" w:rsidR="00637BF6" w:rsidRPr="00C93723" w:rsidRDefault="00000000">
            <w:r w:rsidRPr="00C93723">
              <w:rPr>
                <w:rFonts w:eastAsia="Calibri"/>
              </w:rPr>
              <w:t>Self-application to an existing repository, demonstration recording, and documentation finalization.</w:t>
            </w:r>
          </w:p>
        </w:tc>
      </w:tr>
    </w:tbl>
    <w:p w14:paraId="4CE3C345" w14:textId="77777777" w:rsidR="00637BF6" w:rsidRPr="00C93723" w:rsidRDefault="00637BF6">
      <w:pPr>
        <w:spacing w:after="200"/>
      </w:pPr>
    </w:p>
    <w:p w14:paraId="58C706DB" w14:textId="77777777" w:rsidR="00637BF6" w:rsidRPr="00C93723" w:rsidRDefault="00000000">
      <w:pPr>
        <w:pStyle w:val="Heading1"/>
        <w:spacing w:before="400" w:after="200"/>
        <w:rPr>
          <w:color w:val="auto"/>
        </w:rPr>
      </w:pPr>
      <w:r w:rsidRPr="00C93723">
        <w:rPr>
          <w:rFonts w:eastAsia="Calibri"/>
          <w:color w:val="auto"/>
        </w:rPr>
        <w:t>6. Threat Model and Security Considerations</w:t>
      </w:r>
    </w:p>
    <w:p w14:paraId="665EE2C3" w14:textId="77777777" w:rsidR="00637BF6" w:rsidRPr="00C93723" w:rsidRDefault="00000000">
      <w:pPr>
        <w:pStyle w:val="Heading2"/>
        <w:spacing w:before="300" w:after="150"/>
        <w:rPr>
          <w:color w:val="auto"/>
        </w:rPr>
      </w:pPr>
      <w:r w:rsidRPr="00C93723">
        <w:rPr>
          <w:rFonts w:eastAsia="Calibri"/>
          <w:color w:val="auto"/>
        </w:rPr>
        <w:t>6.1 Assumptions</w:t>
      </w:r>
    </w:p>
    <w:p w14:paraId="612E3F8F" w14:textId="77777777" w:rsidR="00637BF6" w:rsidRPr="00C93723" w:rsidRDefault="00000000">
      <w:pPr>
        <w:spacing w:after="200" w:line="276" w:lineRule="auto"/>
        <w:jc w:val="both"/>
      </w:pPr>
      <w:r w:rsidRPr="00C93723">
        <w:rPr>
          <w:rFonts w:eastAsia="Calibri"/>
          <w:sz w:val="22"/>
          <w:szCs w:val="22"/>
        </w:rPr>
        <w:t>The system assumes that the developer's local machine and Ed25519 private key are not compromised at the time of signing. A compromised local environment is treated as out of scope, consistent with the threat model of comparable local-signing systems such as commit-signing workflows built on GPG or Sigstore's keyless signing model.</w:t>
      </w:r>
    </w:p>
    <w:p w14:paraId="4649404B" w14:textId="77777777" w:rsidR="00637BF6" w:rsidRPr="00C93723" w:rsidRDefault="00000000">
      <w:pPr>
        <w:pStyle w:val="Heading2"/>
        <w:spacing w:before="300" w:after="150"/>
        <w:rPr>
          <w:color w:val="auto"/>
        </w:rPr>
      </w:pPr>
      <w:r w:rsidRPr="00C93723">
        <w:rPr>
          <w:rFonts w:eastAsia="Calibri"/>
          <w:color w:val="auto"/>
        </w:rPr>
        <w:t>6.2 Considered Threats</w:t>
      </w:r>
    </w:p>
    <w:p w14:paraId="033453F1" w14:textId="77777777" w:rsidR="00637BF6" w:rsidRPr="00C93723" w:rsidRDefault="00000000">
      <w:pPr>
        <w:pStyle w:val="ListParagraph"/>
        <w:numPr>
          <w:ilvl w:val="0"/>
          <w:numId w:val="3"/>
        </w:numPr>
        <w:spacing w:after="100"/>
      </w:pPr>
      <w:r w:rsidRPr="00C93723">
        <w:rPr>
          <w:rFonts w:eastAsia="Calibri"/>
          <w:sz w:val="22"/>
          <w:szCs w:val="22"/>
        </w:rPr>
        <w:t>Retroactive ledger tampering: mitigated by the hash-chain construction, which invalidates all subsequent entries if an earlier entry is altered.</w:t>
      </w:r>
    </w:p>
    <w:p w14:paraId="0984FE19" w14:textId="77777777" w:rsidR="00637BF6" w:rsidRPr="00C93723" w:rsidRDefault="00000000">
      <w:pPr>
        <w:pStyle w:val="ListParagraph"/>
        <w:numPr>
          <w:ilvl w:val="0"/>
          <w:numId w:val="3"/>
        </w:numPr>
        <w:spacing w:after="100"/>
      </w:pPr>
      <w:r w:rsidRPr="00C93723">
        <w:rPr>
          <w:rFonts w:eastAsia="Calibri"/>
          <w:sz w:val="22"/>
          <w:szCs w:val="22"/>
        </w:rPr>
        <w:t>Comprehension answer fabrication by rote pattern matching: partially mitigated by deriving questions from the specific structural facts of each hunk rather than a fixed question bank, though this remains an area for continued hardening, discussed in Section 9.</w:t>
      </w:r>
    </w:p>
    <w:p w14:paraId="4E14CBBE" w14:textId="77777777" w:rsidR="00637BF6" w:rsidRPr="00C93723" w:rsidRDefault="00000000">
      <w:pPr>
        <w:pStyle w:val="ListParagraph"/>
        <w:numPr>
          <w:ilvl w:val="0"/>
          <w:numId w:val="3"/>
        </w:numPr>
        <w:spacing w:after="100"/>
      </w:pPr>
      <w:r w:rsidRPr="00C93723">
        <w:rPr>
          <w:rFonts w:eastAsia="Calibri"/>
          <w:sz w:val="22"/>
          <w:szCs w:val="22"/>
        </w:rPr>
        <w:t>Signature key substitution: mitigated by embedding the public key in the distributed report and recommending out-of-band key verification for high-stakes use cases such as formal academic integrity proceedings.</w:t>
      </w:r>
    </w:p>
    <w:p w14:paraId="0ED90D83" w14:textId="77777777" w:rsidR="00637BF6" w:rsidRPr="00C93723" w:rsidRDefault="00000000">
      <w:pPr>
        <w:pStyle w:val="ListParagraph"/>
        <w:numPr>
          <w:ilvl w:val="0"/>
          <w:numId w:val="3"/>
        </w:numPr>
        <w:spacing w:after="100"/>
      </w:pPr>
      <w:r w:rsidRPr="00C93723">
        <w:rPr>
          <w:rFonts w:eastAsia="Calibri"/>
          <w:sz w:val="22"/>
          <w:szCs w:val="22"/>
        </w:rPr>
        <w:t>Heuristic misattribution in the absence of direct tool signal: acknowledged as a probabilistic best-effort mechanism rather than a certainty, and reported with an explicit confidence level rather than a binary classification.</w:t>
      </w:r>
    </w:p>
    <w:p w14:paraId="37E80872" w14:textId="77777777" w:rsidR="00637BF6" w:rsidRPr="00C93723" w:rsidRDefault="00000000">
      <w:pPr>
        <w:pStyle w:val="Heading1"/>
        <w:spacing w:before="400" w:after="200"/>
        <w:rPr>
          <w:color w:val="auto"/>
        </w:rPr>
      </w:pPr>
      <w:r w:rsidRPr="00C93723">
        <w:rPr>
          <w:rFonts w:eastAsia="Calibri"/>
          <w:color w:val="auto"/>
        </w:rPr>
        <w:lastRenderedPageBreak/>
        <w:t>7. Evaluation Strategy</w:t>
      </w:r>
    </w:p>
    <w:p w14:paraId="5B98DD8C" w14:textId="77777777" w:rsidR="00637BF6" w:rsidRPr="00C93723" w:rsidRDefault="00000000">
      <w:pPr>
        <w:spacing w:after="200" w:line="276" w:lineRule="auto"/>
        <w:jc w:val="both"/>
      </w:pPr>
      <w:r w:rsidRPr="00C93723">
        <w:rPr>
          <w:rFonts w:eastAsia="Calibri"/>
          <w:sz w:val="22"/>
          <w:szCs w:val="22"/>
        </w:rPr>
        <w:t>The system will be evaluated along three dimensions. First, attribution accuracy will be assessed by applying Vouchcode to repositories with known, controlled ground truth regarding which commits involved AI assistance, comparing the system's classification against that ground truth. Second, comprehension engine validity will be assessed qualitatively by reviewing whether generated questions target genuinely load-bearing logic rather than trivial syntax, and whether scoring correctly distinguishes prepared, understood answers from guessed or fabricated ones. Third, the system will be evaluated comparatively against the tools surveyed in Section 2 on deployment friction, data residency, and verification depth, summarized in Section 8.</w:t>
      </w:r>
    </w:p>
    <w:p w14:paraId="12781F6D" w14:textId="77777777" w:rsidR="00637BF6" w:rsidRPr="00C93723" w:rsidRDefault="00000000">
      <w:pPr>
        <w:pStyle w:val="Heading1"/>
        <w:spacing w:before="400" w:after="200"/>
        <w:rPr>
          <w:color w:val="auto"/>
        </w:rPr>
      </w:pPr>
      <w:r w:rsidRPr="00C93723">
        <w:rPr>
          <w:rFonts w:eastAsia="Calibri"/>
          <w:color w:val="auto"/>
        </w:rPr>
        <w:t>8. Comparative Analysis</w:t>
      </w:r>
    </w:p>
    <w:p w14:paraId="255A4ABA" w14:textId="77777777" w:rsidR="00637BF6" w:rsidRPr="00C93723" w:rsidRDefault="00000000">
      <w:pPr>
        <w:spacing w:after="200" w:line="276" w:lineRule="auto"/>
        <w:jc w:val="both"/>
      </w:pPr>
      <w:r w:rsidRPr="00C93723">
        <w:rPr>
          <w:rFonts w:eastAsia="Calibri"/>
          <w:sz w:val="22"/>
          <w:szCs w:val="22"/>
        </w:rPr>
        <w:t>Table 2 summarizes Vouchcode's position relative to the two dominant existing categories of AI code provenance tooling identified in the literature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00"/>
      </w:tblGrid>
      <w:tr w:rsidR="00637BF6" w:rsidRPr="00C93723" w14:paraId="328BA25B" w14:textId="77777777">
        <w:tblPrEx>
          <w:tblCellMar>
            <w:top w:w="0" w:type="dxa"/>
            <w:bottom w:w="0" w:type="dxa"/>
          </w:tblCellMar>
        </w:tblPrEx>
        <w:trPr>
          <w:tblHeader/>
        </w:trPr>
        <w:tc>
          <w:tcPr>
            <w:tcW w:w="2350" w:type="dxa"/>
            <w:shd w:val="clear" w:color="auto" w:fill="1F3864"/>
            <w:tcMar>
              <w:top w:w="100" w:type="dxa"/>
              <w:left w:w="100" w:type="dxa"/>
              <w:bottom w:w="100" w:type="dxa"/>
              <w:right w:w="100" w:type="dxa"/>
            </w:tcMar>
          </w:tcPr>
          <w:p w14:paraId="13F188E8" w14:textId="77777777" w:rsidR="00637BF6" w:rsidRPr="00C93723" w:rsidRDefault="00000000">
            <w:r w:rsidRPr="00C93723">
              <w:rPr>
                <w:rFonts w:eastAsia="Calibri"/>
                <w:b/>
                <w:bCs/>
              </w:rPr>
              <w:t>Capability</w:t>
            </w:r>
          </w:p>
        </w:tc>
        <w:tc>
          <w:tcPr>
            <w:tcW w:w="2350" w:type="dxa"/>
            <w:shd w:val="clear" w:color="auto" w:fill="1F3864"/>
            <w:tcMar>
              <w:top w:w="100" w:type="dxa"/>
              <w:left w:w="100" w:type="dxa"/>
              <w:bottom w:w="100" w:type="dxa"/>
              <w:right w:w="100" w:type="dxa"/>
            </w:tcMar>
          </w:tcPr>
          <w:p w14:paraId="341DDCC3" w14:textId="77777777" w:rsidR="00637BF6" w:rsidRPr="00C93723" w:rsidRDefault="00000000">
            <w:r w:rsidRPr="00C93723">
              <w:rPr>
                <w:rFonts w:eastAsia="Calibri"/>
                <w:b/>
                <w:bCs/>
              </w:rPr>
              <w:t>Enterprise SaaS Tools (e.g., Exceeds AI, Crash Override)</w:t>
            </w:r>
          </w:p>
        </w:tc>
        <w:tc>
          <w:tcPr>
            <w:tcW w:w="2350" w:type="dxa"/>
            <w:shd w:val="clear" w:color="auto" w:fill="1F3864"/>
            <w:tcMar>
              <w:top w:w="100" w:type="dxa"/>
              <w:left w:w="100" w:type="dxa"/>
              <w:bottom w:w="100" w:type="dxa"/>
              <w:right w:w="100" w:type="dxa"/>
            </w:tcMar>
          </w:tcPr>
          <w:p w14:paraId="78AAEC51" w14:textId="77777777" w:rsidR="00637BF6" w:rsidRPr="00C93723" w:rsidRDefault="00000000">
            <w:r w:rsidRPr="00C93723">
              <w:rPr>
                <w:rFonts w:eastAsia="Calibri"/>
                <w:b/>
                <w:bCs/>
              </w:rPr>
              <w:t>Open-Source CLI Tools (e.g., git-ai)</w:t>
            </w:r>
          </w:p>
        </w:tc>
        <w:tc>
          <w:tcPr>
            <w:tcW w:w="2300" w:type="dxa"/>
            <w:shd w:val="clear" w:color="auto" w:fill="1F3864"/>
            <w:tcMar>
              <w:top w:w="100" w:type="dxa"/>
              <w:left w:w="100" w:type="dxa"/>
              <w:bottom w:w="100" w:type="dxa"/>
              <w:right w:w="100" w:type="dxa"/>
            </w:tcMar>
          </w:tcPr>
          <w:p w14:paraId="5038EA91" w14:textId="77777777" w:rsidR="00637BF6" w:rsidRPr="00C93723" w:rsidRDefault="00000000">
            <w:r w:rsidRPr="00C93723">
              <w:rPr>
                <w:rFonts w:eastAsia="Calibri"/>
                <w:b/>
                <w:bCs/>
              </w:rPr>
              <w:t>Vouchcode</w:t>
            </w:r>
          </w:p>
        </w:tc>
      </w:tr>
      <w:tr w:rsidR="00637BF6" w:rsidRPr="00C93723" w14:paraId="2BF4886D" w14:textId="77777777">
        <w:tblPrEx>
          <w:tblCellMar>
            <w:top w:w="0" w:type="dxa"/>
            <w:bottom w:w="0" w:type="dxa"/>
          </w:tblCellMar>
        </w:tblPrEx>
        <w:tc>
          <w:tcPr>
            <w:tcW w:w="2350" w:type="dxa"/>
            <w:tcMar>
              <w:top w:w="100" w:type="dxa"/>
              <w:left w:w="100" w:type="dxa"/>
              <w:bottom w:w="100" w:type="dxa"/>
              <w:right w:w="100" w:type="dxa"/>
            </w:tcMar>
          </w:tcPr>
          <w:p w14:paraId="31E04331" w14:textId="77777777" w:rsidR="00637BF6" w:rsidRPr="00C93723" w:rsidRDefault="00000000">
            <w:r w:rsidRPr="00C93723">
              <w:rPr>
                <w:rFonts w:eastAsia="Calibri"/>
              </w:rPr>
              <w:t>Deployment model</w:t>
            </w:r>
          </w:p>
        </w:tc>
        <w:tc>
          <w:tcPr>
            <w:tcW w:w="2350" w:type="dxa"/>
            <w:tcMar>
              <w:top w:w="100" w:type="dxa"/>
              <w:left w:w="100" w:type="dxa"/>
              <w:bottom w:w="100" w:type="dxa"/>
              <w:right w:w="100" w:type="dxa"/>
            </w:tcMar>
          </w:tcPr>
          <w:p w14:paraId="037E893E" w14:textId="77777777" w:rsidR="00637BF6" w:rsidRPr="00C93723" w:rsidRDefault="00000000">
            <w:r w:rsidRPr="00C93723">
              <w:rPr>
                <w:rFonts w:eastAsia="Calibri"/>
              </w:rPr>
              <w:t>Vendor OAuth / MDM-managed endpoint agent</w:t>
            </w:r>
          </w:p>
        </w:tc>
        <w:tc>
          <w:tcPr>
            <w:tcW w:w="2350" w:type="dxa"/>
            <w:tcMar>
              <w:top w:w="100" w:type="dxa"/>
              <w:left w:w="100" w:type="dxa"/>
              <w:bottom w:w="100" w:type="dxa"/>
              <w:right w:w="100" w:type="dxa"/>
            </w:tcMar>
          </w:tcPr>
          <w:p w14:paraId="2863CC38" w14:textId="77777777" w:rsidR="00637BF6" w:rsidRPr="00C93723" w:rsidRDefault="00000000">
            <w:r w:rsidRPr="00C93723">
              <w:rPr>
                <w:rFonts w:eastAsia="Calibri"/>
              </w:rPr>
              <w:t>Local CLI with git hooks</w:t>
            </w:r>
          </w:p>
        </w:tc>
        <w:tc>
          <w:tcPr>
            <w:tcW w:w="2300" w:type="dxa"/>
            <w:tcMar>
              <w:top w:w="100" w:type="dxa"/>
              <w:left w:w="100" w:type="dxa"/>
              <w:bottom w:w="100" w:type="dxa"/>
              <w:right w:w="100" w:type="dxa"/>
            </w:tcMar>
          </w:tcPr>
          <w:p w14:paraId="179E38C4" w14:textId="77777777" w:rsidR="00637BF6" w:rsidRPr="00C93723" w:rsidRDefault="00000000">
            <w:r w:rsidRPr="00C93723">
              <w:rPr>
                <w:rFonts w:eastAsia="Calibri"/>
              </w:rPr>
              <w:t>Local CLI, single-command install, no account</w:t>
            </w:r>
          </w:p>
        </w:tc>
      </w:tr>
      <w:tr w:rsidR="00637BF6" w:rsidRPr="00C93723" w14:paraId="03D441F4" w14:textId="77777777">
        <w:tblPrEx>
          <w:tblCellMar>
            <w:top w:w="0" w:type="dxa"/>
            <w:bottom w:w="0" w:type="dxa"/>
          </w:tblCellMar>
        </w:tblPrEx>
        <w:tc>
          <w:tcPr>
            <w:tcW w:w="2350" w:type="dxa"/>
            <w:tcMar>
              <w:top w:w="100" w:type="dxa"/>
              <w:left w:w="100" w:type="dxa"/>
              <w:bottom w:w="100" w:type="dxa"/>
              <w:right w:w="100" w:type="dxa"/>
            </w:tcMar>
          </w:tcPr>
          <w:p w14:paraId="5F22938A" w14:textId="77777777" w:rsidR="00637BF6" w:rsidRPr="00C93723" w:rsidRDefault="00000000">
            <w:r w:rsidRPr="00C93723">
              <w:rPr>
                <w:rFonts w:eastAsia="Calibri"/>
              </w:rPr>
              <w:t>Data residency</w:t>
            </w:r>
          </w:p>
        </w:tc>
        <w:tc>
          <w:tcPr>
            <w:tcW w:w="2350" w:type="dxa"/>
            <w:tcMar>
              <w:top w:w="100" w:type="dxa"/>
              <w:left w:w="100" w:type="dxa"/>
              <w:bottom w:w="100" w:type="dxa"/>
              <w:right w:w="100" w:type="dxa"/>
            </w:tcMar>
          </w:tcPr>
          <w:p w14:paraId="4C82FC15" w14:textId="77777777" w:rsidR="00637BF6" w:rsidRPr="00C93723" w:rsidRDefault="00000000">
            <w:r w:rsidRPr="00C93723">
              <w:rPr>
                <w:rFonts w:eastAsia="Calibri"/>
              </w:rPr>
              <w:t>Provenance data transmitted to vendor platform</w:t>
            </w:r>
          </w:p>
        </w:tc>
        <w:tc>
          <w:tcPr>
            <w:tcW w:w="2350" w:type="dxa"/>
            <w:tcMar>
              <w:top w:w="100" w:type="dxa"/>
              <w:left w:w="100" w:type="dxa"/>
              <w:bottom w:w="100" w:type="dxa"/>
              <w:right w:w="100" w:type="dxa"/>
            </w:tcMar>
          </w:tcPr>
          <w:p w14:paraId="580DA17F" w14:textId="77777777" w:rsidR="00637BF6" w:rsidRPr="00C93723" w:rsidRDefault="00000000">
            <w:r w:rsidRPr="00C93723">
              <w:rPr>
                <w:rFonts w:eastAsia="Calibri"/>
              </w:rPr>
              <w:t>Local (git notes)</w:t>
            </w:r>
          </w:p>
        </w:tc>
        <w:tc>
          <w:tcPr>
            <w:tcW w:w="2300" w:type="dxa"/>
            <w:tcMar>
              <w:top w:w="100" w:type="dxa"/>
              <w:left w:w="100" w:type="dxa"/>
              <w:bottom w:w="100" w:type="dxa"/>
              <w:right w:w="100" w:type="dxa"/>
            </w:tcMar>
          </w:tcPr>
          <w:p w14:paraId="1DF9663F" w14:textId="77777777" w:rsidR="00637BF6" w:rsidRPr="00C93723" w:rsidRDefault="00000000">
            <w:r w:rsidRPr="00C93723">
              <w:rPr>
                <w:rFonts w:eastAsia="Calibri"/>
              </w:rPr>
              <w:t>Local only, cryptographically sealed on-device</w:t>
            </w:r>
          </w:p>
        </w:tc>
      </w:tr>
      <w:tr w:rsidR="00637BF6" w:rsidRPr="00C93723" w14:paraId="6AD1E9B9" w14:textId="77777777">
        <w:tblPrEx>
          <w:tblCellMar>
            <w:top w:w="0" w:type="dxa"/>
            <w:bottom w:w="0" w:type="dxa"/>
          </w:tblCellMar>
        </w:tblPrEx>
        <w:tc>
          <w:tcPr>
            <w:tcW w:w="2350" w:type="dxa"/>
            <w:tcMar>
              <w:top w:w="100" w:type="dxa"/>
              <w:left w:w="100" w:type="dxa"/>
              <w:bottom w:w="100" w:type="dxa"/>
              <w:right w:w="100" w:type="dxa"/>
            </w:tcMar>
          </w:tcPr>
          <w:p w14:paraId="00F2D090" w14:textId="77777777" w:rsidR="00637BF6" w:rsidRPr="00C93723" w:rsidRDefault="00000000">
            <w:r w:rsidRPr="00C93723">
              <w:rPr>
                <w:rFonts w:eastAsia="Calibri"/>
              </w:rPr>
              <w:t>Attribution granularity</w:t>
            </w:r>
          </w:p>
        </w:tc>
        <w:tc>
          <w:tcPr>
            <w:tcW w:w="2350" w:type="dxa"/>
            <w:tcMar>
              <w:top w:w="100" w:type="dxa"/>
              <w:left w:w="100" w:type="dxa"/>
              <w:bottom w:w="100" w:type="dxa"/>
              <w:right w:w="100" w:type="dxa"/>
            </w:tcMar>
          </w:tcPr>
          <w:p w14:paraId="7E37CA26" w14:textId="77777777" w:rsidR="00637BF6" w:rsidRPr="00C93723" w:rsidRDefault="00000000">
            <w:r w:rsidRPr="00C93723">
              <w:rPr>
                <w:rFonts w:eastAsia="Calibri"/>
              </w:rPr>
              <w:t>Line-level, multi-tool detection</w:t>
            </w:r>
          </w:p>
        </w:tc>
        <w:tc>
          <w:tcPr>
            <w:tcW w:w="2350" w:type="dxa"/>
            <w:tcMar>
              <w:top w:w="100" w:type="dxa"/>
              <w:left w:w="100" w:type="dxa"/>
              <w:bottom w:w="100" w:type="dxa"/>
              <w:right w:w="100" w:type="dxa"/>
            </w:tcMar>
          </w:tcPr>
          <w:p w14:paraId="3D530998" w14:textId="77777777" w:rsidR="00637BF6" w:rsidRPr="00C93723" w:rsidRDefault="00000000">
            <w:r w:rsidRPr="00C93723">
              <w:rPr>
                <w:rFonts w:eastAsia="Calibri"/>
              </w:rPr>
              <w:t>Line-level, single-repo scope</w:t>
            </w:r>
          </w:p>
        </w:tc>
        <w:tc>
          <w:tcPr>
            <w:tcW w:w="2300" w:type="dxa"/>
            <w:tcMar>
              <w:top w:w="100" w:type="dxa"/>
              <w:left w:w="100" w:type="dxa"/>
              <w:bottom w:w="100" w:type="dxa"/>
              <w:right w:w="100" w:type="dxa"/>
            </w:tcMar>
          </w:tcPr>
          <w:p w14:paraId="35A3DFEA" w14:textId="77777777" w:rsidR="00637BF6" w:rsidRPr="00C93723" w:rsidRDefault="00000000">
            <w:r w:rsidRPr="00C93723">
              <w:rPr>
                <w:rFonts w:eastAsia="Calibri"/>
              </w:rPr>
              <w:t>Hunk-level via AST segmentation (function/block scope)</w:t>
            </w:r>
          </w:p>
        </w:tc>
      </w:tr>
      <w:tr w:rsidR="00637BF6" w:rsidRPr="00C93723" w14:paraId="24327353" w14:textId="77777777">
        <w:tblPrEx>
          <w:tblCellMar>
            <w:top w:w="0" w:type="dxa"/>
            <w:bottom w:w="0" w:type="dxa"/>
          </w:tblCellMar>
        </w:tblPrEx>
        <w:tc>
          <w:tcPr>
            <w:tcW w:w="2350" w:type="dxa"/>
            <w:tcMar>
              <w:top w:w="100" w:type="dxa"/>
              <w:left w:w="100" w:type="dxa"/>
              <w:bottom w:w="100" w:type="dxa"/>
              <w:right w:w="100" w:type="dxa"/>
            </w:tcMar>
          </w:tcPr>
          <w:p w14:paraId="1200569F" w14:textId="77777777" w:rsidR="00637BF6" w:rsidRPr="00C93723" w:rsidRDefault="00000000">
            <w:r w:rsidRPr="00C93723">
              <w:rPr>
                <w:rFonts w:eastAsia="Calibri"/>
              </w:rPr>
              <w:t>Comprehension verification</w:t>
            </w:r>
          </w:p>
        </w:tc>
        <w:tc>
          <w:tcPr>
            <w:tcW w:w="2350" w:type="dxa"/>
            <w:tcMar>
              <w:top w:w="100" w:type="dxa"/>
              <w:left w:w="100" w:type="dxa"/>
              <w:bottom w:w="100" w:type="dxa"/>
              <w:right w:w="100" w:type="dxa"/>
            </w:tcMar>
          </w:tcPr>
          <w:p w14:paraId="3207C158" w14:textId="77777777" w:rsidR="00637BF6" w:rsidRPr="00C93723" w:rsidRDefault="00000000">
            <w:r w:rsidRPr="00C93723">
              <w:rPr>
                <w:rFonts w:eastAsia="Calibri"/>
              </w:rPr>
              <w:t>Not present</w:t>
            </w:r>
          </w:p>
        </w:tc>
        <w:tc>
          <w:tcPr>
            <w:tcW w:w="2300" w:type="dxa"/>
            <w:tcMar>
              <w:top w:w="100" w:type="dxa"/>
              <w:left w:w="100" w:type="dxa"/>
              <w:bottom w:w="100" w:type="dxa"/>
              <w:right w:w="100" w:type="dxa"/>
            </w:tcMar>
          </w:tcPr>
          <w:p w14:paraId="6E910D8E" w14:textId="77777777" w:rsidR="00637BF6" w:rsidRPr="00C93723" w:rsidRDefault="00000000">
            <w:r w:rsidRPr="00C93723">
              <w:rPr>
                <w:rFonts w:eastAsia="Calibri"/>
              </w:rPr>
              <w:t>Not present</w:t>
            </w:r>
          </w:p>
        </w:tc>
        <w:tc>
          <w:tcPr>
            <w:tcW w:w="2300" w:type="dxa"/>
            <w:tcMar>
              <w:top w:w="100" w:type="dxa"/>
              <w:left w:w="100" w:type="dxa"/>
              <w:bottom w:w="100" w:type="dxa"/>
              <w:right w:w="100" w:type="dxa"/>
            </w:tcMar>
          </w:tcPr>
          <w:p w14:paraId="4DC1F074" w14:textId="77777777" w:rsidR="00637BF6" w:rsidRPr="00C93723" w:rsidRDefault="00000000">
            <w:r w:rsidRPr="00C93723">
              <w:rPr>
                <w:rFonts w:eastAsia="Calibri"/>
              </w:rPr>
              <w:t>Core feature: AST-derived quiz per AI-attributed hunk</w:t>
            </w:r>
          </w:p>
        </w:tc>
      </w:tr>
      <w:tr w:rsidR="00637BF6" w:rsidRPr="00C93723" w14:paraId="3E15DD48" w14:textId="77777777">
        <w:tblPrEx>
          <w:tblCellMar>
            <w:top w:w="0" w:type="dxa"/>
            <w:bottom w:w="0" w:type="dxa"/>
          </w:tblCellMar>
        </w:tblPrEx>
        <w:tc>
          <w:tcPr>
            <w:tcW w:w="2350" w:type="dxa"/>
            <w:tcMar>
              <w:top w:w="100" w:type="dxa"/>
              <w:left w:w="100" w:type="dxa"/>
              <w:bottom w:w="100" w:type="dxa"/>
              <w:right w:w="100" w:type="dxa"/>
            </w:tcMar>
          </w:tcPr>
          <w:p w14:paraId="3E7F012F" w14:textId="77777777" w:rsidR="00637BF6" w:rsidRPr="00C93723" w:rsidRDefault="00000000">
            <w:r w:rsidRPr="00C93723">
              <w:rPr>
                <w:rFonts w:eastAsia="Calibri"/>
              </w:rPr>
              <w:t>Retroactive analysis</w:t>
            </w:r>
          </w:p>
        </w:tc>
        <w:tc>
          <w:tcPr>
            <w:tcW w:w="2350" w:type="dxa"/>
            <w:tcMar>
              <w:top w:w="100" w:type="dxa"/>
              <w:left w:w="100" w:type="dxa"/>
              <w:bottom w:w="100" w:type="dxa"/>
              <w:right w:w="100" w:type="dxa"/>
            </w:tcMar>
          </w:tcPr>
          <w:p w14:paraId="295D2D3C" w14:textId="77777777" w:rsidR="00637BF6" w:rsidRPr="00C93723" w:rsidRDefault="00000000">
            <w:r w:rsidRPr="00C93723">
              <w:rPr>
                <w:rFonts w:eastAsia="Calibri"/>
              </w:rPr>
              <w:t>Forward-only from install point</w:t>
            </w:r>
          </w:p>
        </w:tc>
        <w:tc>
          <w:tcPr>
            <w:tcW w:w="2350" w:type="dxa"/>
            <w:tcMar>
              <w:top w:w="100" w:type="dxa"/>
              <w:left w:w="100" w:type="dxa"/>
              <w:bottom w:w="100" w:type="dxa"/>
              <w:right w:w="100" w:type="dxa"/>
            </w:tcMar>
          </w:tcPr>
          <w:p w14:paraId="769D235F" w14:textId="77777777" w:rsidR="00637BF6" w:rsidRPr="00C93723" w:rsidRDefault="00000000">
            <w:r w:rsidRPr="00C93723">
              <w:rPr>
                <w:rFonts w:eastAsia="Calibri"/>
              </w:rPr>
              <w:t>Forward-only</w:t>
            </w:r>
          </w:p>
        </w:tc>
        <w:tc>
          <w:tcPr>
            <w:tcW w:w="2300" w:type="dxa"/>
            <w:tcMar>
              <w:top w:w="100" w:type="dxa"/>
              <w:left w:w="100" w:type="dxa"/>
              <w:bottom w:w="100" w:type="dxa"/>
              <w:right w:w="100" w:type="dxa"/>
            </w:tcMar>
          </w:tcPr>
          <w:p w14:paraId="0562E5C8" w14:textId="77777777" w:rsidR="00637BF6" w:rsidRPr="00C93723" w:rsidRDefault="00000000">
            <w:r w:rsidRPr="00C93723">
              <w:rPr>
                <w:rFonts w:eastAsia="Calibri"/>
              </w:rPr>
              <w:t>Supported via heuristic scan of existing history</w:t>
            </w:r>
          </w:p>
        </w:tc>
      </w:tr>
      <w:tr w:rsidR="00637BF6" w:rsidRPr="00C93723" w14:paraId="65E72B4B" w14:textId="77777777">
        <w:tblPrEx>
          <w:tblCellMar>
            <w:top w:w="0" w:type="dxa"/>
            <w:bottom w:w="0" w:type="dxa"/>
          </w:tblCellMar>
        </w:tblPrEx>
        <w:tc>
          <w:tcPr>
            <w:tcW w:w="2350" w:type="dxa"/>
            <w:tcMar>
              <w:top w:w="100" w:type="dxa"/>
              <w:left w:w="100" w:type="dxa"/>
              <w:bottom w:w="100" w:type="dxa"/>
              <w:right w:w="100" w:type="dxa"/>
            </w:tcMar>
          </w:tcPr>
          <w:p w14:paraId="67D6F2C3" w14:textId="77777777" w:rsidR="00637BF6" w:rsidRPr="00C93723" w:rsidRDefault="00000000">
            <w:r w:rsidRPr="00C93723">
              <w:rPr>
                <w:rFonts w:eastAsia="Calibri"/>
              </w:rPr>
              <w:t>Report portability</w:t>
            </w:r>
          </w:p>
        </w:tc>
        <w:tc>
          <w:tcPr>
            <w:tcW w:w="2350" w:type="dxa"/>
            <w:tcMar>
              <w:top w:w="100" w:type="dxa"/>
              <w:left w:w="100" w:type="dxa"/>
              <w:bottom w:w="100" w:type="dxa"/>
              <w:right w:w="100" w:type="dxa"/>
            </w:tcMar>
          </w:tcPr>
          <w:p w14:paraId="3C2C1A5A" w14:textId="77777777" w:rsidR="00637BF6" w:rsidRPr="00C93723" w:rsidRDefault="00000000">
            <w:r w:rsidRPr="00C93723">
              <w:rPr>
                <w:rFonts w:eastAsia="Calibri"/>
              </w:rPr>
              <w:t>Dashboard, requires login to view</w:t>
            </w:r>
          </w:p>
        </w:tc>
        <w:tc>
          <w:tcPr>
            <w:tcW w:w="2350" w:type="dxa"/>
            <w:tcMar>
              <w:top w:w="100" w:type="dxa"/>
              <w:left w:w="100" w:type="dxa"/>
              <w:bottom w:w="100" w:type="dxa"/>
              <w:right w:w="100" w:type="dxa"/>
            </w:tcMar>
          </w:tcPr>
          <w:p w14:paraId="02FBBDAC" w14:textId="77777777" w:rsidR="00637BF6" w:rsidRPr="00C93723" w:rsidRDefault="00000000">
            <w:r w:rsidRPr="00C93723">
              <w:rPr>
                <w:rFonts w:eastAsia="Calibri"/>
              </w:rPr>
              <w:t>Terminal output only</w:t>
            </w:r>
          </w:p>
        </w:tc>
        <w:tc>
          <w:tcPr>
            <w:tcW w:w="2300" w:type="dxa"/>
            <w:tcMar>
              <w:top w:w="100" w:type="dxa"/>
              <w:left w:w="100" w:type="dxa"/>
              <w:bottom w:w="100" w:type="dxa"/>
              <w:right w:w="100" w:type="dxa"/>
            </w:tcMar>
          </w:tcPr>
          <w:p w14:paraId="0EA83432" w14:textId="77777777" w:rsidR="00637BF6" w:rsidRPr="00C93723" w:rsidRDefault="00000000">
            <w:r w:rsidRPr="00C93723">
              <w:rPr>
                <w:rFonts w:eastAsia="Calibri"/>
              </w:rPr>
              <w:t>Signed, offline-verifiable JSON + PDF artifact</w:t>
            </w:r>
          </w:p>
        </w:tc>
      </w:tr>
      <w:tr w:rsidR="00637BF6" w:rsidRPr="00C93723" w14:paraId="5E41A5F7" w14:textId="77777777">
        <w:tblPrEx>
          <w:tblCellMar>
            <w:top w:w="0" w:type="dxa"/>
            <w:bottom w:w="0" w:type="dxa"/>
          </w:tblCellMar>
        </w:tblPrEx>
        <w:tc>
          <w:tcPr>
            <w:tcW w:w="2350" w:type="dxa"/>
            <w:tcMar>
              <w:top w:w="100" w:type="dxa"/>
              <w:left w:w="100" w:type="dxa"/>
              <w:bottom w:w="100" w:type="dxa"/>
              <w:right w:w="100" w:type="dxa"/>
            </w:tcMar>
          </w:tcPr>
          <w:p w14:paraId="7074D7E0" w14:textId="77777777" w:rsidR="00637BF6" w:rsidRPr="00C93723" w:rsidRDefault="00000000">
            <w:r w:rsidRPr="00C93723">
              <w:rPr>
                <w:rFonts w:eastAsia="Calibri"/>
              </w:rPr>
              <w:t>External model dependency</w:t>
            </w:r>
          </w:p>
        </w:tc>
        <w:tc>
          <w:tcPr>
            <w:tcW w:w="2350" w:type="dxa"/>
            <w:tcMar>
              <w:top w:w="100" w:type="dxa"/>
              <w:left w:w="100" w:type="dxa"/>
              <w:bottom w:w="100" w:type="dxa"/>
              <w:right w:w="100" w:type="dxa"/>
            </w:tcMar>
          </w:tcPr>
          <w:p w14:paraId="4D8AA156" w14:textId="77777777" w:rsidR="00637BF6" w:rsidRPr="00C93723" w:rsidRDefault="00000000">
            <w:r w:rsidRPr="00C93723">
              <w:rPr>
                <w:rFonts w:eastAsia="Calibri"/>
              </w:rPr>
              <w:t>Cloud-based analytics backend</w:t>
            </w:r>
          </w:p>
        </w:tc>
        <w:tc>
          <w:tcPr>
            <w:tcW w:w="2350" w:type="dxa"/>
            <w:tcMar>
              <w:top w:w="100" w:type="dxa"/>
              <w:left w:w="100" w:type="dxa"/>
              <w:bottom w:w="100" w:type="dxa"/>
              <w:right w:w="100" w:type="dxa"/>
            </w:tcMar>
          </w:tcPr>
          <w:p w14:paraId="5A5C4EE9" w14:textId="77777777" w:rsidR="00637BF6" w:rsidRPr="00C93723" w:rsidRDefault="00000000">
            <w:r w:rsidRPr="00C93723">
              <w:rPr>
                <w:rFonts w:eastAsia="Calibri"/>
              </w:rPr>
              <w:t>None</w:t>
            </w:r>
          </w:p>
        </w:tc>
        <w:tc>
          <w:tcPr>
            <w:tcW w:w="2300" w:type="dxa"/>
            <w:tcMar>
              <w:top w:w="100" w:type="dxa"/>
              <w:left w:w="100" w:type="dxa"/>
              <w:bottom w:w="100" w:type="dxa"/>
              <w:right w:w="100" w:type="dxa"/>
            </w:tcMar>
          </w:tcPr>
          <w:p w14:paraId="224C255A" w14:textId="77777777" w:rsidR="00637BF6" w:rsidRPr="00C93723" w:rsidRDefault="00000000">
            <w:r w:rsidRPr="00C93723">
              <w:rPr>
                <w:rFonts w:eastAsia="Calibri"/>
              </w:rPr>
              <w:t>None (deterministic AST analysis, no external API)</w:t>
            </w:r>
          </w:p>
        </w:tc>
      </w:tr>
    </w:tbl>
    <w:p w14:paraId="1788DE62" w14:textId="77777777" w:rsidR="00637BF6" w:rsidRPr="00C93723" w:rsidRDefault="00637BF6">
      <w:pPr>
        <w:spacing w:after="200"/>
      </w:pPr>
    </w:p>
    <w:p w14:paraId="78C80D6C" w14:textId="77777777" w:rsidR="00637BF6" w:rsidRPr="00C93723" w:rsidRDefault="00000000">
      <w:pPr>
        <w:pStyle w:val="Heading1"/>
        <w:spacing w:before="400" w:after="200"/>
        <w:rPr>
          <w:color w:val="auto"/>
        </w:rPr>
      </w:pPr>
      <w:r w:rsidRPr="00C93723">
        <w:rPr>
          <w:rFonts w:eastAsia="Calibri"/>
          <w:color w:val="auto"/>
        </w:rPr>
        <w:t>9. Use Cases and Applications</w:t>
      </w:r>
    </w:p>
    <w:p w14:paraId="2DB7CE70" w14:textId="77777777" w:rsidR="00637BF6" w:rsidRPr="00C93723" w:rsidRDefault="00000000">
      <w:pPr>
        <w:pStyle w:val="Heading2"/>
        <w:spacing w:before="300" w:after="150"/>
        <w:rPr>
          <w:color w:val="auto"/>
        </w:rPr>
      </w:pPr>
      <w:r w:rsidRPr="00C93723">
        <w:rPr>
          <w:rFonts w:eastAsia="Calibri"/>
          <w:color w:val="auto"/>
        </w:rPr>
        <w:t>9.1 Academic Integrity</w:t>
      </w:r>
    </w:p>
    <w:p w14:paraId="7F776F3B" w14:textId="77777777" w:rsidR="00637BF6" w:rsidRPr="00C93723" w:rsidRDefault="00000000">
      <w:pPr>
        <w:spacing w:after="200" w:line="276" w:lineRule="auto"/>
        <w:jc w:val="both"/>
      </w:pPr>
      <w:r w:rsidRPr="00C93723">
        <w:rPr>
          <w:rFonts w:eastAsia="Calibri"/>
          <w:sz w:val="22"/>
          <w:szCs w:val="22"/>
        </w:rPr>
        <w:lastRenderedPageBreak/>
        <w:t>A university supervisor or examiner can request a Vouchcode report alongside a final-year project or assignment submission, obtaining both an authorship breakdown and evidence that the submitting student can account for AI-assisted portions of the work, without requiring the examiner to install any software.</w:t>
      </w:r>
    </w:p>
    <w:p w14:paraId="23F334C1" w14:textId="77777777" w:rsidR="00637BF6" w:rsidRPr="00C93723" w:rsidRDefault="00000000">
      <w:pPr>
        <w:pStyle w:val="Heading2"/>
        <w:spacing w:before="300" w:after="150"/>
        <w:rPr>
          <w:color w:val="auto"/>
        </w:rPr>
      </w:pPr>
      <w:r w:rsidRPr="00C93723">
        <w:rPr>
          <w:rFonts w:eastAsia="Calibri"/>
          <w:color w:val="auto"/>
        </w:rPr>
        <w:t>9.2 Technical Hiring and Portfolio Verification</w:t>
      </w:r>
    </w:p>
    <w:p w14:paraId="443B8F94" w14:textId="77777777" w:rsidR="00637BF6" w:rsidRPr="00C93723" w:rsidRDefault="00000000">
      <w:pPr>
        <w:spacing w:after="200" w:line="276" w:lineRule="auto"/>
        <w:jc w:val="both"/>
      </w:pPr>
      <w:r w:rsidRPr="00C93723">
        <w:rPr>
          <w:rFonts w:eastAsia="Calibri"/>
          <w:sz w:val="22"/>
          <w:szCs w:val="22"/>
        </w:rPr>
        <w:t>A candidate can generate a Vouchcode report for a take-home assessment or portfolio repository, allowing a hiring manager to distinguish genuine engineering understanding from unexamined AI output, addressing a verification gap increasingly cited as a concern in technical recruitment.</w:t>
      </w:r>
    </w:p>
    <w:p w14:paraId="3BFFF4D6" w14:textId="77777777" w:rsidR="00637BF6" w:rsidRPr="00C93723" w:rsidRDefault="00000000">
      <w:pPr>
        <w:pStyle w:val="Heading2"/>
        <w:spacing w:before="300" w:after="150"/>
        <w:rPr>
          <w:color w:val="auto"/>
        </w:rPr>
      </w:pPr>
      <w:r w:rsidRPr="00C93723">
        <w:rPr>
          <w:rFonts w:eastAsia="Calibri"/>
          <w:color w:val="auto"/>
        </w:rPr>
        <w:t>9.3 Software Supply Chain Audit</w:t>
      </w:r>
    </w:p>
    <w:p w14:paraId="656087F0" w14:textId="77777777" w:rsidR="00637BF6" w:rsidRPr="00C93723" w:rsidRDefault="00000000">
      <w:pPr>
        <w:spacing w:after="200" w:line="276" w:lineRule="auto"/>
        <w:jc w:val="both"/>
      </w:pPr>
      <w:r w:rsidRPr="00C93723">
        <w:rPr>
          <w:rFonts w:eastAsia="Calibri"/>
          <w:sz w:val="22"/>
          <w:szCs w:val="22"/>
        </w:rPr>
        <w:t>Development teams operating under compliance frameworks that require material code change tracking can use Vouchcode's signed ledger as a lightweight, self-hosted complement to existing SLSA or Sigstore-based build attestation, extending verifiable provenance to the commit level.</w:t>
      </w:r>
    </w:p>
    <w:p w14:paraId="434BE5FE" w14:textId="77777777" w:rsidR="00637BF6" w:rsidRPr="00C93723" w:rsidRDefault="00000000">
      <w:pPr>
        <w:pStyle w:val="Heading1"/>
        <w:spacing w:before="400" w:after="200"/>
        <w:rPr>
          <w:color w:val="auto"/>
        </w:rPr>
      </w:pPr>
      <w:r w:rsidRPr="00C93723">
        <w:rPr>
          <w:rFonts w:eastAsia="Calibri"/>
          <w:color w:val="auto"/>
        </w:rPr>
        <w:t>10. Limitations and Future Work</w:t>
      </w:r>
    </w:p>
    <w:p w14:paraId="51C31904" w14:textId="77777777" w:rsidR="00637BF6" w:rsidRPr="00C93723" w:rsidRDefault="00000000">
      <w:pPr>
        <w:pStyle w:val="ListParagraph"/>
        <w:numPr>
          <w:ilvl w:val="0"/>
          <w:numId w:val="3"/>
        </w:numPr>
        <w:spacing w:after="100"/>
      </w:pPr>
      <w:r w:rsidRPr="00C93723">
        <w:rPr>
          <w:rFonts w:eastAsia="Calibri"/>
          <w:sz w:val="22"/>
          <w:szCs w:val="22"/>
        </w:rPr>
        <w:t>Initial language support is limited to Python; extension to JavaScript and TypeScript via tree-sitter is identified as near-term future work.</w:t>
      </w:r>
    </w:p>
    <w:p w14:paraId="44A37CD4" w14:textId="77777777" w:rsidR="00637BF6" w:rsidRPr="00C93723" w:rsidRDefault="00000000">
      <w:pPr>
        <w:pStyle w:val="ListParagraph"/>
        <w:numPr>
          <w:ilvl w:val="0"/>
          <w:numId w:val="3"/>
        </w:numPr>
        <w:spacing w:after="100"/>
      </w:pPr>
      <w:r w:rsidRPr="00C93723">
        <w:rPr>
          <w:rFonts w:eastAsia="Calibri"/>
          <w:sz w:val="22"/>
          <w:szCs w:val="22"/>
        </w:rPr>
        <w:t>Deterministic answer scoring, while reproducible and free of external dependency, is less linguistically flexible than a model-graded approach and may require iterative refinement of its fact-matching rules.</w:t>
      </w:r>
    </w:p>
    <w:p w14:paraId="4EF8AAB4" w14:textId="77777777" w:rsidR="00637BF6" w:rsidRPr="00C93723" w:rsidRDefault="00000000">
      <w:pPr>
        <w:pStyle w:val="ListParagraph"/>
        <w:numPr>
          <w:ilvl w:val="0"/>
          <w:numId w:val="3"/>
        </w:numPr>
        <w:spacing w:after="100"/>
      </w:pPr>
      <w:r w:rsidRPr="00C93723">
        <w:rPr>
          <w:rFonts w:eastAsia="Calibri"/>
          <w:sz w:val="22"/>
          <w:szCs w:val="22"/>
        </w:rPr>
        <w:t>Heuristic attribution in the absence of a direct tool signal is inherently probabilistic and should be presented to report recipients with an explicit confidence level rather than asserted as certain.</w:t>
      </w:r>
    </w:p>
    <w:p w14:paraId="34B9A57D" w14:textId="77777777" w:rsidR="00637BF6" w:rsidRPr="00C93723" w:rsidRDefault="00000000">
      <w:pPr>
        <w:pStyle w:val="ListParagraph"/>
        <w:numPr>
          <w:ilvl w:val="0"/>
          <w:numId w:val="3"/>
        </w:numPr>
        <w:spacing w:after="100"/>
      </w:pPr>
      <w:r w:rsidRPr="00C93723">
        <w:rPr>
          <w:rFonts w:eastAsia="Calibri"/>
          <w:sz w:val="22"/>
          <w:szCs w:val="22"/>
        </w:rPr>
        <w:t>A longer-term extension under consideration is an optional Model Context Protocol (MCP) server interface, allowing AI coding assistants such as Claude Code to query Vouchcode's comprehension engine mid-session, surfacing verification prompts before a commit is made rather than after.</w:t>
      </w:r>
    </w:p>
    <w:p w14:paraId="510E8E0A" w14:textId="77777777" w:rsidR="00637BF6" w:rsidRPr="00C93723" w:rsidRDefault="00000000">
      <w:pPr>
        <w:pStyle w:val="Heading1"/>
        <w:spacing w:before="400" w:after="200"/>
        <w:rPr>
          <w:color w:val="auto"/>
        </w:rPr>
      </w:pPr>
      <w:r w:rsidRPr="00C93723">
        <w:rPr>
          <w:rFonts w:eastAsia="Calibri"/>
          <w:color w:val="auto"/>
        </w:rPr>
        <w:t>11. Conclusion</w:t>
      </w:r>
    </w:p>
    <w:p w14:paraId="366C0979" w14:textId="77777777" w:rsidR="00637BF6" w:rsidRPr="00C93723" w:rsidRDefault="00000000">
      <w:pPr>
        <w:spacing w:after="200" w:line="276" w:lineRule="auto"/>
        <w:jc w:val="both"/>
      </w:pPr>
      <w:r w:rsidRPr="00C93723">
        <w:rPr>
          <w:rFonts w:eastAsia="Calibri"/>
          <w:sz w:val="22"/>
          <w:szCs w:val="22"/>
        </w:rPr>
        <w:t>Vouchcode addresses a gap left open by the current generation of AI code provenance tooling: the absence of any mechanism verifying that the accountable human author of a commit understands the AI-generated code they are committing. By combining local-first, zero-dependency AST analysis, a deterministic comprehension verification engine, and a cryptographically tamper-evident provenance ledger, Vouchcode extends the existing attribution paradigm into a genuine accountability paradigm, while remaining installable in a single command and free of the organizational deployment overhead characteristic of existing enterprise alternatives. The system is designed to be directly applicable to academic integrity review, technical hiring verification, and lightweight software supply chain audit, three contexts that current tooling addresses incompletely or not at all.</w:t>
      </w:r>
    </w:p>
    <w:p w14:paraId="69B439C0" w14:textId="77777777" w:rsidR="00637BF6" w:rsidRPr="00C93723" w:rsidRDefault="00000000">
      <w:pPr>
        <w:pStyle w:val="Heading1"/>
        <w:spacing w:before="400" w:after="200"/>
        <w:rPr>
          <w:color w:val="auto"/>
        </w:rPr>
      </w:pPr>
      <w:r w:rsidRPr="00C93723">
        <w:rPr>
          <w:rFonts w:eastAsia="Calibri"/>
          <w:color w:val="auto"/>
        </w:rPr>
        <w:t>References</w:t>
      </w:r>
    </w:p>
    <w:p w14:paraId="42186FF0" w14:textId="77777777" w:rsidR="00637BF6" w:rsidRPr="00C93723" w:rsidRDefault="00000000">
      <w:pPr>
        <w:spacing w:after="200" w:line="276" w:lineRule="auto"/>
        <w:jc w:val="both"/>
      </w:pPr>
      <w:r w:rsidRPr="00C93723">
        <w:rPr>
          <w:rFonts w:eastAsia="Calibri"/>
          <w:i/>
          <w:iCs/>
          <w:sz w:val="22"/>
          <w:szCs w:val="22"/>
        </w:rPr>
        <w:lastRenderedPageBreak/>
        <w:t>The following sources informed the related work review in Section 2 and the industry context cited in Section 1. Full citation formatting to be finalized according to the target submission's required style.</w:t>
      </w:r>
    </w:p>
    <w:p w14:paraId="3E8B2753" w14:textId="77777777" w:rsidR="00637BF6" w:rsidRPr="00C93723" w:rsidRDefault="00000000">
      <w:pPr>
        <w:pStyle w:val="ListParagraph"/>
        <w:numPr>
          <w:ilvl w:val="0"/>
          <w:numId w:val="3"/>
        </w:numPr>
        <w:spacing w:after="100"/>
      </w:pPr>
      <w:r w:rsidRPr="00C93723">
        <w:rPr>
          <w:rFonts w:eastAsia="Calibri"/>
          <w:sz w:val="22"/>
          <w:szCs w:val="22"/>
        </w:rPr>
        <w:t>Exceeds AI. Track AI Code Contributions in Git with Line-Level Fidelity.</w:t>
      </w:r>
    </w:p>
    <w:p w14:paraId="7B706C85" w14:textId="77777777" w:rsidR="00637BF6" w:rsidRPr="00C93723" w:rsidRDefault="00000000">
      <w:pPr>
        <w:pStyle w:val="ListParagraph"/>
        <w:numPr>
          <w:ilvl w:val="0"/>
          <w:numId w:val="3"/>
        </w:numPr>
        <w:spacing w:after="100"/>
      </w:pPr>
      <w:r w:rsidRPr="00C93723">
        <w:rPr>
          <w:rFonts w:eastAsia="Calibri"/>
          <w:sz w:val="22"/>
          <w:szCs w:val="22"/>
        </w:rPr>
        <w:t>Beyond Identity. Why Is Code Provenance Non-Negotiable in the Age of AI?</w:t>
      </w:r>
    </w:p>
    <w:p w14:paraId="23003490" w14:textId="77777777" w:rsidR="00637BF6" w:rsidRPr="00C93723" w:rsidRDefault="00000000">
      <w:pPr>
        <w:pStyle w:val="ListParagraph"/>
        <w:numPr>
          <w:ilvl w:val="0"/>
          <w:numId w:val="3"/>
        </w:numPr>
        <w:spacing w:after="100"/>
      </w:pPr>
      <w:r w:rsidRPr="00C93723">
        <w:rPr>
          <w:rFonts w:eastAsia="Calibri"/>
          <w:sz w:val="22"/>
          <w:szCs w:val="22"/>
        </w:rPr>
        <w:t>BrightCoding. The AI Code Tracking Revolution: How to Automatically Identify AI-Generated Code in Your Git Repositories.</w:t>
      </w:r>
    </w:p>
    <w:p w14:paraId="59ED30BB" w14:textId="77777777" w:rsidR="00637BF6" w:rsidRPr="00C93723" w:rsidRDefault="00000000">
      <w:pPr>
        <w:pStyle w:val="ListParagraph"/>
        <w:numPr>
          <w:ilvl w:val="0"/>
          <w:numId w:val="3"/>
        </w:numPr>
        <w:spacing w:after="100"/>
      </w:pPr>
      <w:r w:rsidRPr="00C93723">
        <w:rPr>
          <w:rFonts w:eastAsia="Calibri"/>
          <w:sz w:val="22"/>
          <w:szCs w:val="22"/>
        </w:rPr>
        <w:t>zircote. Recording AI Authorship in Provenance You Can Trust.</w:t>
      </w:r>
    </w:p>
    <w:p w14:paraId="7B736D84" w14:textId="77777777" w:rsidR="00637BF6" w:rsidRPr="00C93723" w:rsidRDefault="00000000">
      <w:pPr>
        <w:pStyle w:val="ListParagraph"/>
        <w:numPr>
          <w:ilvl w:val="0"/>
          <w:numId w:val="3"/>
        </w:numPr>
        <w:spacing w:after="100"/>
      </w:pPr>
      <w:r w:rsidRPr="00C93723">
        <w:rPr>
          <w:rFonts w:eastAsia="Calibri"/>
          <w:sz w:val="22"/>
          <w:szCs w:val="22"/>
        </w:rPr>
        <w:t>NHIMG. Code provenance is the missing control for AI-generated commits.</w:t>
      </w:r>
    </w:p>
    <w:p w14:paraId="163D5D43" w14:textId="77777777" w:rsidR="00637BF6" w:rsidRPr="00C93723" w:rsidRDefault="00000000">
      <w:pPr>
        <w:pStyle w:val="ListParagraph"/>
        <w:numPr>
          <w:ilvl w:val="0"/>
          <w:numId w:val="3"/>
        </w:numPr>
        <w:spacing w:after="100"/>
      </w:pPr>
      <w:r w:rsidRPr="00C93723">
        <w:rPr>
          <w:rFonts w:eastAsia="Calibri"/>
          <w:sz w:val="22"/>
          <w:szCs w:val="22"/>
        </w:rPr>
        <w:t>Crash Override. How to Tag and Track AI-Generated Code in Git; AI Code Traceability.</w:t>
      </w:r>
    </w:p>
    <w:p w14:paraId="4B2F9401" w14:textId="77777777" w:rsidR="00637BF6" w:rsidRPr="00C93723" w:rsidRDefault="00000000">
      <w:pPr>
        <w:pStyle w:val="ListParagraph"/>
        <w:numPr>
          <w:ilvl w:val="0"/>
          <w:numId w:val="3"/>
        </w:numPr>
        <w:spacing w:after="100"/>
      </w:pPr>
      <w:r w:rsidRPr="00C93723">
        <w:rPr>
          <w:rFonts w:eastAsia="Calibri"/>
          <w:sz w:val="22"/>
          <w:szCs w:val="22"/>
        </w:rPr>
        <w:t>Engineering Agents (Substack). Provenance as the Chain of Accountability in Agentic Systems.</w:t>
      </w:r>
    </w:p>
    <w:p w14:paraId="7B4DBAD5" w14:textId="77777777" w:rsidR="00637BF6" w:rsidRPr="00C93723" w:rsidRDefault="00000000">
      <w:pPr>
        <w:pStyle w:val="ListParagraph"/>
        <w:numPr>
          <w:ilvl w:val="0"/>
          <w:numId w:val="3"/>
        </w:numPr>
        <w:spacing w:after="100"/>
      </w:pPr>
      <w:r w:rsidRPr="00C93723">
        <w:rPr>
          <w:rFonts w:eastAsia="Calibri"/>
          <w:sz w:val="22"/>
          <w:szCs w:val="22"/>
        </w:rPr>
        <w:t>Baristalabs. Assisted-by git trailer: provenance for AI-assisted commits.</w:t>
      </w:r>
    </w:p>
    <w:p w14:paraId="700580BA" w14:textId="77777777" w:rsidR="00637BF6" w:rsidRPr="00C93723" w:rsidRDefault="00000000">
      <w:pPr>
        <w:pStyle w:val="ListParagraph"/>
        <w:numPr>
          <w:ilvl w:val="0"/>
          <w:numId w:val="3"/>
        </w:numPr>
        <w:spacing w:after="100"/>
      </w:pPr>
      <w:r w:rsidRPr="00C93723">
        <w:rPr>
          <w:rFonts w:eastAsia="Calibri"/>
          <w:sz w:val="22"/>
          <w:szCs w:val="22"/>
        </w:rPr>
        <w:t>All Things Open. Assisted-by: How open source projects are drawing the line on AI contributions.</w:t>
      </w:r>
    </w:p>
    <w:p w14:paraId="1E284972" w14:textId="77777777" w:rsidR="00637BF6" w:rsidRPr="00C93723" w:rsidRDefault="00000000">
      <w:pPr>
        <w:pStyle w:val="ListParagraph"/>
        <w:numPr>
          <w:ilvl w:val="0"/>
          <w:numId w:val="3"/>
        </w:numPr>
        <w:spacing w:after="100"/>
      </w:pPr>
      <w:r w:rsidRPr="00C93723">
        <w:rPr>
          <w:rFonts w:eastAsia="Calibri"/>
          <w:sz w:val="22"/>
          <w:szCs w:val="22"/>
        </w:rPr>
        <w:t>CodeBrewTools. 10 Best AI Code Provenance Tools 2026: Avoid IP and Legal Risks.</w:t>
      </w:r>
    </w:p>
    <w:p w14:paraId="0A966738" w14:textId="77777777" w:rsidR="00637BF6" w:rsidRPr="00C93723" w:rsidRDefault="00000000">
      <w:pPr>
        <w:pStyle w:val="ListParagraph"/>
        <w:numPr>
          <w:ilvl w:val="0"/>
          <w:numId w:val="3"/>
        </w:numPr>
        <w:spacing w:after="100"/>
      </w:pPr>
      <w:r w:rsidRPr="00C93723">
        <w:rPr>
          <w:rFonts w:eastAsia="Calibri"/>
          <w:sz w:val="22"/>
          <w:szCs w:val="22"/>
        </w:rPr>
        <w:t>QAInsights. code-provenance: Git Blame for AI-Generated Code (open-source repository).</w:t>
      </w:r>
    </w:p>
    <w:p w14:paraId="470289CA" w14:textId="77777777" w:rsidR="00637BF6" w:rsidRPr="00C93723" w:rsidRDefault="00000000">
      <w:pPr>
        <w:pStyle w:val="ListParagraph"/>
        <w:numPr>
          <w:ilvl w:val="0"/>
          <w:numId w:val="3"/>
        </w:numPr>
        <w:spacing w:after="100"/>
      </w:pPr>
      <w:r w:rsidRPr="00C93723">
        <w:rPr>
          <w:rFonts w:eastAsia="Calibri"/>
          <w:sz w:val="22"/>
          <w:szCs w:val="22"/>
        </w:rPr>
        <w:t>Augment Code. AI-Generated Code Security: Closing the Governance Gap.</w:t>
      </w:r>
    </w:p>
    <w:sectPr w:rsidR="00637BF6" w:rsidRPr="00C937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5718" w14:textId="77777777" w:rsidR="00902862" w:rsidRDefault="00902862">
      <w:r>
        <w:separator/>
      </w:r>
    </w:p>
  </w:endnote>
  <w:endnote w:type="continuationSeparator" w:id="0">
    <w:p w14:paraId="53CC0D5E" w14:textId="77777777" w:rsidR="00902862" w:rsidRDefault="00902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65B1" w14:textId="77777777" w:rsidR="00637BF6"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C93723">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C93723">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6287" w14:textId="77777777" w:rsidR="00902862" w:rsidRDefault="00902862">
      <w:r>
        <w:separator/>
      </w:r>
    </w:p>
  </w:footnote>
  <w:footnote w:type="continuationSeparator" w:id="0">
    <w:p w14:paraId="7E44EE3C" w14:textId="77777777" w:rsidR="00902862" w:rsidRDefault="00902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C61C" w14:textId="77777777" w:rsidR="00637BF6" w:rsidRDefault="00000000">
    <w:pPr>
      <w:jc w:val="right"/>
    </w:pPr>
    <w:r>
      <w:rPr>
        <w:rFonts w:ascii="Calibri" w:eastAsia="Calibri" w:hAnsi="Calibri" w:cs="Calibri"/>
        <w:color w:val="808080"/>
        <w:sz w:val="16"/>
        <w:szCs w:val="16"/>
      </w:rPr>
      <w:t>Vouchcode — Research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2C2"/>
    <w:multiLevelType w:val="hybridMultilevel"/>
    <w:tmpl w:val="EE582456"/>
    <w:lvl w:ilvl="0" w:tplc="7376CEC8">
      <w:start w:val="1"/>
      <w:numFmt w:val="bullet"/>
      <w:lvlText w:val="•"/>
      <w:lvlJc w:val="left"/>
      <w:pPr>
        <w:ind w:left="720" w:hanging="360"/>
      </w:pPr>
    </w:lvl>
    <w:lvl w:ilvl="1" w:tplc="5324E3E2">
      <w:numFmt w:val="decimal"/>
      <w:lvlText w:val=""/>
      <w:lvlJc w:val="left"/>
    </w:lvl>
    <w:lvl w:ilvl="2" w:tplc="0D2210C0">
      <w:numFmt w:val="decimal"/>
      <w:lvlText w:val=""/>
      <w:lvlJc w:val="left"/>
    </w:lvl>
    <w:lvl w:ilvl="3" w:tplc="0F0C8242">
      <w:numFmt w:val="decimal"/>
      <w:lvlText w:val=""/>
      <w:lvlJc w:val="left"/>
    </w:lvl>
    <w:lvl w:ilvl="4" w:tplc="8708C380">
      <w:numFmt w:val="decimal"/>
      <w:lvlText w:val=""/>
      <w:lvlJc w:val="left"/>
    </w:lvl>
    <w:lvl w:ilvl="5" w:tplc="9C1EA90E">
      <w:numFmt w:val="decimal"/>
      <w:lvlText w:val=""/>
      <w:lvlJc w:val="left"/>
    </w:lvl>
    <w:lvl w:ilvl="6" w:tplc="0E0097DE">
      <w:numFmt w:val="decimal"/>
      <w:lvlText w:val=""/>
      <w:lvlJc w:val="left"/>
    </w:lvl>
    <w:lvl w:ilvl="7" w:tplc="8E9EA9E6">
      <w:numFmt w:val="decimal"/>
      <w:lvlText w:val=""/>
      <w:lvlJc w:val="left"/>
    </w:lvl>
    <w:lvl w:ilvl="8" w:tplc="8FA2BD76">
      <w:numFmt w:val="decimal"/>
      <w:lvlText w:val=""/>
      <w:lvlJc w:val="left"/>
    </w:lvl>
  </w:abstractNum>
  <w:abstractNum w:abstractNumId="1" w15:restartNumberingAfterBreak="0">
    <w:nsid w:val="14146A7B"/>
    <w:multiLevelType w:val="hybridMultilevel"/>
    <w:tmpl w:val="6ED43438"/>
    <w:lvl w:ilvl="0" w:tplc="90D00808">
      <w:start w:val="1"/>
      <w:numFmt w:val="bullet"/>
      <w:lvlText w:val="●"/>
      <w:lvlJc w:val="left"/>
      <w:pPr>
        <w:ind w:left="720" w:hanging="360"/>
      </w:pPr>
    </w:lvl>
    <w:lvl w:ilvl="1" w:tplc="9C2E2A0C">
      <w:start w:val="1"/>
      <w:numFmt w:val="bullet"/>
      <w:lvlText w:val="○"/>
      <w:lvlJc w:val="left"/>
      <w:pPr>
        <w:ind w:left="1440" w:hanging="360"/>
      </w:pPr>
    </w:lvl>
    <w:lvl w:ilvl="2" w:tplc="7C5AF954">
      <w:start w:val="1"/>
      <w:numFmt w:val="bullet"/>
      <w:lvlText w:val="■"/>
      <w:lvlJc w:val="left"/>
      <w:pPr>
        <w:ind w:left="2160" w:hanging="360"/>
      </w:pPr>
    </w:lvl>
    <w:lvl w:ilvl="3" w:tplc="99E206D2">
      <w:start w:val="1"/>
      <w:numFmt w:val="bullet"/>
      <w:lvlText w:val="●"/>
      <w:lvlJc w:val="left"/>
      <w:pPr>
        <w:ind w:left="2880" w:hanging="360"/>
      </w:pPr>
    </w:lvl>
    <w:lvl w:ilvl="4" w:tplc="0968371C">
      <w:start w:val="1"/>
      <w:numFmt w:val="bullet"/>
      <w:lvlText w:val="○"/>
      <w:lvlJc w:val="left"/>
      <w:pPr>
        <w:ind w:left="3600" w:hanging="360"/>
      </w:pPr>
    </w:lvl>
    <w:lvl w:ilvl="5" w:tplc="986C069A">
      <w:start w:val="1"/>
      <w:numFmt w:val="bullet"/>
      <w:lvlText w:val="■"/>
      <w:lvlJc w:val="left"/>
      <w:pPr>
        <w:ind w:left="4320" w:hanging="360"/>
      </w:pPr>
    </w:lvl>
    <w:lvl w:ilvl="6" w:tplc="855EFD50">
      <w:start w:val="1"/>
      <w:numFmt w:val="bullet"/>
      <w:lvlText w:val="●"/>
      <w:lvlJc w:val="left"/>
      <w:pPr>
        <w:ind w:left="5040" w:hanging="360"/>
      </w:pPr>
    </w:lvl>
    <w:lvl w:ilvl="7" w:tplc="7C6CE07C">
      <w:start w:val="1"/>
      <w:numFmt w:val="bullet"/>
      <w:lvlText w:val="●"/>
      <w:lvlJc w:val="left"/>
      <w:pPr>
        <w:ind w:left="5760" w:hanging="360"/>
      </w:pPr>
    </w:lvl>
    <w:lvl w:ilvl="8" w:tplc="81681720">
      <w:start w:val="1"/>
      <w:numFmt w:val="bullet"/>
      <w:lvlText w:val="●"/>
      <w:lvlJc w:val="left"/>
      <w:pPr>
        <w:ind w:left="6480" w:hanging="360"/>
      </w:pPr>
    </w:lvl>
  </w:abstractNum>
  <w:abstractNum w:abstractNumId="2" w15:restartNumberingAfterBreak="0">
    <w:nsid w:val="49352F06"/>
    <w:multiLevelType w:val="hybridMultilevel"/>
    <w:tmpl w:val="5514753E"/>
    <w:lvl w:ilvl="0" w:tplc="4A10DD82">
      <w:start w:val="1"/>
      <w:numFmt w:val="decimal"/>
      <w:lvlText w:val="%1."/>
      <w:lvlJc w:val="left"/>
      <w:pPr>
        <w:ind w:left="720" w:hanging="360"/>
      </w:pPr>
    </w:lvl>
    <w:lvl w:ilvl="1" w:tplc="6668F8C8">
      <w:numFmt w:val="decimal"/>
      <w:lvlText w:val=""/>
      <w:lvlJc w:val="left"/>
    </w:lvl>
    <w:lvl w:ilvl="2" w:tplc="C358B00A">
      <w:numFmt w:val="decimal"/>
      <w:lvlText w:val=""/>
      <w:lvlJc w:val="left"/>
    </w:lvl>
    <w:lvl w:ilvl="3" w:tplc="022A5156">
      <w:numFmt w:val="decimal"/>
      <w:lvlText w:val=""/>
      <w:lvlJc w:val="left"/>
    </w:lvl>
    <w:lvl w:ilvl="4" w:tplc="D2824242">
      <w:numFmt w:val="decimal"/>
      <w:lvlText w:val=""/>
      <w:lvlJc w:val="left"/>
    </w:lvl>
    <w:lvl w:ilvl="5" w:tplc="70D03A2A">
      <w:numFmt w:val="decimal"/>
      <w:lvlText w:val=""/>
      <w:lvlJc w:val="left"/>
    </w:lvl>
    <w:lvl w:ilvl="6" w:tplc="A77CB762">
      <w:numFmt w:val="decimal"/>
      <w:lvlText w:val=""/>
      <w:lvlJc w:val="left"/>
    </w:lvl>
    <w:lvl w:ilvl="7" w:tplc="A266AB8C">
      <w:numFmt w:val="decimal"/>
      <w:lvlText w:val=""/>
      <w:lvlJc w:val="left"/>
    </w:lvl>
    <w:lvl w:ilvl="8" w:tplc="C23E6982">
      <w:numFmt w:val="decimal"/>
      <w:lvlText w:val=""/>
      <w:lvlJc w:val="left"/>
    </w:lvl>
  </w:abstractNum>
  <w:num w:numId="1" w16cid:durableId="1517885443">
    <w:abstractNumId w:val="1"/>
    <w:lvlOverride w:ilvl="0">
      <w:startOverride w:val="1"/>
    </w:lvlOverride>
  </w:num>
  <w:num w:numId="2" w16cid:durableId="1397388755">
    <w:abstractNumId w:val="2"/>
    <w:lvlOverride w:ilvl="0">
      <w:startOverride w:val="1"/>
    </w:lvlOverride>
  </w:num>
  <w:num w:numId="3" w16cid:durableId="567887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BF6"/>
    <w:rsid w:val="005C3C07"/>
    <w:rsid w:val="00637BF6"/>
    <w:rsid w:val="00902862"/>
    <w:rsid w:val="00C93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15CE"/>
  <w15:docId w15:val="{9322F081-D451-4584-B3E8-1E464AB6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3631</Words>
  <Characters>20699</Characters>
  <Application>Microsoft Office Word</Application>
  <DocSecurity>0</DocSecurity>
  <Lines>172</Lines>
  <Paragraphs>48</Paragraphs>
  <ScaleCrop>false</ScaleCrop>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Vouchcode: A Local-First Cryptographic Provenance and Comprehension Verification System for AI-Assisted Software Development</dc:title>
  <dc:creator>Muhammad Sudais Khalid</dc:creator>
  <cp:lastModifiedBy>Muhammad Sudais Khalid</cp:lastModifiedBy>
  <cp:revision>2</cp:revision>
  <dcterms:created xsi:type="dcterms:W3CDTF">2026-08-20T01:32:00Z</dcterms:created>
  <dcterms:modified xsi:type="dcterms:W3CDTF">2026-08-20T01:34:00Z</dcterms:modified>
</cp:coreProperties>
</file>