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777777"/>
          <w:spacing w:val="30"/>
          <w:sz w:val="16"/>
          <w:szCs w:val="16"/>
        </w:rPr>
        <w:t xml:space="preserve">MSc THESIS PROJECT  ·  EDGE AI / ML SYSTEMS</w:t>
      </w:r>
    </w:p>
    <w:p>
      <w:pPr>
        <w:spacing w:after="20"/>
      </w:pPr>
      <w:r>
        <w:rPr>
          <w:b/>
          <w:bCs/>
          <w:color w:val="1F3864"/>
          <w:sz w:val="36"/>
          <w:szCs w:val="36"/>
        </w:rPr>
        <w:t xml:space="preserve">ElastoSLM</w:t>
      </w:r>
    </w:p>
    <w:p>
      <w:pPr>
        <w:spacing w:after="60"/>
      </w:pPr>
      <w:r>
        <w:rPr>
          <w:color w:val="333333"/>
          <w:sz w:val="21"/>
          <w:szCs w:val="21"/>
        </w:rPr>
        <w:t xml:space="preserve">Nested Low-Rank Elasticity for Small Language Models via Multi-Objective Budget Optimization</w:t>
      </w:r>
    </w:p>
    <w:p>
      <w:pPr>
        <w:pBdr>
          <w:bottom w:val="single" w:color="1F3864" w:sz="6"/>
        </w:pBdr>
        <w:spacing w:after="120"/>
      </w:pPr>
      <w:r>
        <w:rPr>
          <w:i/>
          <w:iCs/>
          <w:color w:val="777777"/>
          <w:sz w:val="16"/>
          <w:szCs w:val="16"/>
        </w:rPr>
        <w:t xml:space="preserve">Supervisor: Sudaksh Kalra, University of Amsterdam  ·  6–9 months  ·  Builds on Elastoformer (SEC '25), FlexRank (ICML '26), MOSP (NeurIPS '25)</w:t>
      </w:r>
    </w:p>
    <w:p>
      <w:pPr>
        <w:pBdr>
          <w:bottom w:val="single" w:color="C3CCDE" w:sz="4"/>
        </w:pBdr>
        <w:spacing w:after="70" w:before="150"/>
      </w:pPr>
      <w:r>
        <w:rPr>
          <w:b/>
          <w:bCs/>
          <w:color w:val="1F3864"/>
          <w:spacing w:val="20"/>
          <w:sz w:val="18"/>
          <w:szCs w:val="18"/>
        </w:rPr>
        <w:t xml:space="preserve">THE PROBLEM</w:t>
      </w:r>
    </w:p>
    <w:p>
      <w:pPr>
        <w:spacing w:after="80" w:line="240"/>
      </w:pPr>
      <w:r>
        <w:rPr>
          <w:sz w:val="18"/>
          <w:szCs w:val="18"/>
        </w:rPr>
        <w:t xml:space="preserve">Small language models (0.5–3B) are shipped as fixed-cost monoliths: one checkpoint, one compute footprint, regardless of how much battery, memory or latency headroom the device has, and regardless of whether the query is trivial or hard. Elastic models fix this by extracting many nested submodels from one shared weight set — but how they are trained hides a real gap.</w:t>
      </w:r>
    </w:p>
    <w:p>
      <w:pPr>
        <w:pBdr>
          <w:bottom w:val="single" w:color="C3CCDE" w:sz="4"/>
        </w:pBdr>
        <w:spacing w:after="70" w:before="150"/>
      </w:pPr>
      <w:r>
        <w:rPr>
          <w:b/>
          <w:bCs/>
          <w:color w:val="1F3864"/>
          <w:spacing w:val="20"/>
          <w:sz w:val="18"/>
          <w:szCs w:val="18"/>
        </w:rPr>
        <w:t xml:space="preserve">THE GAP</w:t>
      </w:r>
    </w:p>
    <w:p>
      <w:pPr>
        <w:spacing w:after="80" w:line="240"/>
      </w:pPr>
      <w:r>
        <w:rPr>
          <w:sz w:val="18"/>
          <w:szCs w:val="18"/>
        </w:rPr>
        <w:t xml:space="preserve">State-of-the-art elastic training minimizes a weighted sum of per-budget losses, min_θ Σ α_k ℓ_k(θ). This is a </w:t>
      </w:r>
      <w:r>
        <w:rPr>
          <w:b/>
          <w:bCs/>
          <w:sz w:val="18"/>
          <w:szCs w:val="18"/>
        </w:rPr>
        <w:t xml:space="preserve">linear scalarization</w:t>
      </w:r>
      <w:r>
        <w:rPr>
          <w:sz w:val="18"/>
          <w:szCs w:val="18"/>
        </w:rPr>
        <w:t xml:space="preserve"> of a multi-objective problem, and it provably cannot reach Pareto points in non-convex regions of the front — for </w:t>
      </w:r>
      <w:r>
        <w:rPr>
          <w:i/>
          <w:iCs/>
          <w:sz w:val="18"/>
          <w:szCs w:val="18"/>
        </w:rPr>
        <w:t xml:space="preserve">any</w:t>
      </w:r>
      <w:r>
        <w:rPr>
          <w:sz w:val="18"/>
          <w:szCs w:val="18"/>
        </w:rPr>
        <w:t xml:space="preserve"> α. That matters precisely at aggressive budgets, where elastic models degrade sharpest and where edge deployment actually lives. Chen et al. (NeurIPS 2025) showed the analogous point for LLM pruning: naive multi-objective extensions of a strong single-objective pruner collapse from 7.68 to 8.72 and 142.51 average perplexity. Treating multiple objectives properly is not cosmetic.</w:t>
      </w:r>
    </w:p>
    <w:p>
      <w:pPr>
        <w:pBdr>
          <w:bottom w:val="single" w:color="C3CCDE" w:sz="4"/>
        </w:pBdr>
        <w:spacing w:after="70" w:before="150"/>
      </w:pPr>
      <w:r>
        <w:rPr>
          <w:b/>
          <w:bCs/>
          <w:color w:val="1F3864"/>
          <w:spacing w:val="20"/>
          <w:sz w:val="18"/>
          <w:szCs w:val="18"/>
        </w:rPr>
        <w:t xml:space="preserve">WHAT THE STUDENT WILL BUILD</w:t>
      </w:r>
    </w:p>
    <w:p>
      <w:pPr>
        <w:pStyle w:val="ListParagraph"/>
        <w:numPr>
          <w:ilvl w:val="0"/>
          <w:numId w:val="2"/>
        </w:numPr>
        <w:spacing w:after="50" w:line="240"/>
      </w:pPr>
      <w:r>
        <w:rPr>
          <w:b/>
          <w:bCs/>
          <w:sz w:val="18"/>
          <w:szCs w:val="18"/>
        </w:rPr>
        <w:t xml:space="preserve">Stage A — Elastic SLM. </w:t>
      </w:r>
      <w:r>
        <w:rPr>
          <w:sz w:val="18"/>
          <w:szCs w:val="18"/>
        </w:rPr>
        <w:t xml:space="preserve">Activation-aware low-rank factorization of per-layer projections, with a capped maximum rank so storage stays below the dense base model at every mode. Rank truncation preserves head_dim, so RoPE and GQA survive intact — the decisive advantage over head-dimension pruning for language models.</w:t>
      </w:r>
    </w:p>
    <w:p>
      <w:pPr>
        <w:pStyle w:val="ListParagraph"/>
        <w:numPr>
          <w:ilvl w:val="0"/>
          <w:numId w:val="2"/>
        </w:numPr>
        <w:spacing w:after="50" w:line="240"/>
      </w:pPr>
      <w:r>
        <w:rPr>
          <w:b/>
          <w:bCs/>
          <w:sz w:val="18"/>
          <w:szCs w:val="18"/>
        </w:rPr>
        <w:t xml:space="preserve">Stage B — MOO reformulation (core). </w:t>
      </w:r>
      <w:r>
        <w:rPr>
          <w:sz w:val="18"/>
          <w:szCs w:val="18"/>
        </w:rPr>
        <w:t xml:space="preserve">Replace the weighted sum with an explicit vector objective over budgets. Two tracks compared head-to-head: common-descent methods (MGDA / CAGrad / Nash-MTL) and preference-conditioned hypernetworks that learn the whole front rather than K points.</w:t>
      </w:r>
    </w:p>
    <w:p>
      <w:pPr>
        <w:pStyle w:val="ListParagraph"/>
        <w:numPr>
          <w:ilvl w:val="0"/>
          <w:numId w:val="2"/>
        </w:numPr>
        <w:spacing w:after="50" w:line="240"/>
      </w:pPr>
      <w:r>
        <w:rPr>
          <w:b/>
          <w:bCs/>
          <w:sz w:val="18"/>
          <w:szCs w:val="18"/>
        </w:rPr>
        <w:t xml:space="preserve">Stage C — Two-axis nesting. </w:t>
      </w:r>
      <w:r>
        <w:rPr>
          <w:sz w:val="18"/>
          <w:szCs w:val="18"/>
        </w:rPr>
        <w:t xml:space="preserve">Port MOSP's core-support idea into rank space: a core rank block shared across capabilities plus capability-specific extensions, giving a model indexed jointly by budget β and preference λ. No existing method provides this.</w:t>
      </w:r>
    </w:p>
    <w:p>
      <w:pPr>
        <w:pBdr>
          <w:bottom w:val="single" w:color="C3CCDE" w:sz="4"/>
        </w:pBdr>
        <w:spacing w:after="70" w:before="150"/>
      </w:pPr>
      <w:r>
        <w:rPr>
          <w:b/>
          <w:bCs/>
          <w:color w:val="1F3864"/>
          <w:spacing w:val="20"/>
          <w:sz w:val="18"/>
          <w:szCs w:val="18"/>
        </w:rPr>
        <w:t xml:space="preserve">RESEARCH QUESTIONS</w:t>
      </w:r>
    </w:p>
    <w:tbl>
      <w:tblPr>
        <w:tblW w:type="dxa" w:w="10046"/>
        <w:tblBorders>
          <w:top w:val="single" w:color="AAB4C8" w:sz="2"/>
          <w:left w:val="single" w:color="AAB4C8" w:sz="2"/>
          <w:bottom w:val="single" w:color="AAB4C8" w:sz="2"/>
          <w:right w:val="single" w:color="AAB4C8" w:sz="2"/>
          <w:insideH w:val="single" w:color="D3DAE6" w:sz="2"/>
          <w:insideV w:val="single" w:color="D3DAE6" w:sz="2"/>
        </w:tblBorders>
      </w:tblPr>
      <w:tblGrid>
        <w:gridCol w:w="600"/>
        <w:gridCol w:w="5100"/>
        <w:gridCol w:w="4346"/>
      </w:tblGrid>
      <w:tr>
        <w:trPr>
          <w:tblHeader/>
        </w:trPr>
        <w:tc>
          <w:tcPr>
            <w:tcW w:type="dxa" w:w="600"/>
            <w:shd w:fill="1F3864" w:color="auto" w:val="clear"/>
            <w:tcMar>
              <w:top w:type="dxa" w:w="45"/>
              <w:left w:type="dxa" w:w="80"/>
              <w:bottom w:type="dxa" w:w="45"/>
              <w:right w:type="dxa" w:w="80"/>
            </w:tcMar>
          </w:tcPr>
          <w:p>
            <w:pPr>
              <w:spacing w:after="0" w:line="230"/>
            </w:pPr>
            <w:r>
              <w:rPr>
                <w:b/>
                <w:bCs/>
                <w:color w:val="FFFFFF"/>
                <w:sz w:val="17"/>
                <w:szCs w:val="17"/>
              </w:rPr>
              <w:t xml:space="preserve">#</w:t>
            </w:r>
          </w:p>
        </w:tc>
        <w:tc>
          <w:tcPr>
            <w:tcW w:type="dxa" w:w="5100"/>
            <w:shd w:fill="1F3864" w:color="auto" w:val="clear"/>
            <w:tcMar>
              <w:top w:type="dxa" w:w="45"/>
              <w:left w:type="dxa" w:w="80"/>
              <w:bottom w:type="dxa" w:w="45"/>
              <w:right w:type="dxa" w:w="80"/>
            </w:tcMar>
          </w:tcPr>
          <w:p>
            <w:pPr>
              <w:spacing w:after="0" w:line="230"/>
            </w:pPr>
            <w:r>
              <w:rPr>
                <w:b/>
                <w:bCs/>
                <w:color w:val="FFFFFF"/>
                <w:sz w:val="17"/>
                <w:szCs w:val="17"/>
              </w:rPr>
              <w:t xml:space="preserve">Question</w:t>
            </w:r>
          </w:p>
        </w:tc>
        <w:tc>
          <w:tcPr>
            <w:tcW w:type="dxa" w:w="4346"/>
            <w:shd w:fill="1F3864" w:color="auto" w:val="clear"/>
            <w:tcMar>
              <w:top w:type="dxa" w:w="45"/>
              <w:left w:type="dxa" w:w="80"/>
              <w:bottom w:type="dxa" w:w="45"/>
              <w:right w:type="dxa" w:w="80"/>
            </w:tcMar>
          </w:tcPr>
          <w:p>
            <w:pPr>
              <w:spacing w:after="0" w:line="230"/>
            </w:pPr>
            <w:r>
              <w:rPr>
                <w:b/>
                <w:bCs/>
                <w:color w:val="FFFFFF"/>
                <w:sz w:val="17"/>
                <w:szCs w:val="17"/>
              </w:rPr>
              <w:t xml:space="preserve">Settled by</w:t>
            </w:r>
          </w:p>
        </w:tc>
      </w:tr>
      <w:tr>
        <w:trPr>
          <w:tblHeader w:val="false"/>
        </w:trPr>
        <w:tc>
          <w:tcPr>
            <w:tcW w:type="dxa" w:w="600"/>
            <w:tcMar>
              <w:top w:type="dxa" w:w="45"/>
              <w:left w:type="dxa" w:w="80"/>
              <w:bottom w:type="dxa" w:w="45"/>
              <w:right w:type="dxa" w:w="80"/>
            </w:tcMar>
          </w:tcPr>
          <w:p>
            <w:pPr>
              <w:spacing w:after="0" w:line="230"/>
            </w:pPr>
            <w:r>
              <w:rPr>
                <w:sz w:val="17"/>
                <w:szCs w:val="17"/>
              </w:rPr>
              <w:t xml:space="preserve">RQ1</w:t>
            </w:r>
          </w:p>
        </w:tc>
        <w:tc>
          <w:tcPr>
            <w:tcW w:type="dxa" w:w="5100"/>
            <w:tcMar>
              <w:top w:type="dxa" w:w="45"/>
              <w:left w:type="dxa" w:w="80"/>
              <w:bottom w:type="dxa" w:w="45"/>
              <w:right w:type="dxa" w:w="80"/>
            </w:tcMar>
          </w:tcPr>
          <w:p>
            <w:pPr>
              <w:spacing w:after="0" w:line="230"/>
            </w:pPr>
            <w:r>
              <w:rPr>
                <w:sz w:val="17"/>
                <w:szCs w:val="17"/>
              </w:rPr>
              <w:t xml:space="preserve">Does scalarization leave Pareto-optimal budget configurations unreachable at SLM scale, and does MOO recover them?</w:t>
            </w:r>
          </w:p>
        </w:tc>
        <w:tc>
          <w:tcPr>
            <w:tcW w:type="dxa" w:w="4346"/>
            <w:tcMar>
              <w:top w:type="dxa" w:w="45"/>
              <w:left w:type="dxa" w:w="80"/>
              <w:bottom w:type="dxa" w:w="45"/>
              <w:right w:type="dxa" w:w="80"/>
            </w:tcMar>
          </w:tcPr>
          <w:p>
            <w:pPr>
              <w:spacing w:after="0" w:line="230"/>
            </w:pPr>
            <w:r>
              <w:rPr>
                <w:sz w:val="17"/>
                <w:szCs w:val="17"/>
              </w:rPr>
              <w:t xml:space="preserve">Hypervolume vs α-sweep at matched compute</w:t>
            </w:r>
          </w:p>
        </w:tc>
      </w:tr>
      <w:tr>
        <w:trPr>
          <w:tblHeader w:val="false"/>
        </w:trPr>
        <w:tc>
          <w:tcPr>
            <w:tcW w:type="dxa" w:w="600"/>
            <w:shd w:fill="EEF1F7" w:color="auto" w:val="clear"/>
            <w:tcMar>
              <w:top w:type="dxa" w:w="45"/>
              <w:left w:type="dxa" w:w="80"/>
              <w:bottom w:type="dxa" w:w="45"/>
              <w:right w:type="dxa" w:w="80"/>
            </w:tcMar>
          </w:tcPr>
          <w:p>
            <w:pPr>
              <w:spacing w:after="0" w:line="230"/>
            </w:pPr>
            <w:r>
              <w:rPr>
                <w:sz w:val="17"/>
                <w:szCs w:val="17"/>
              </w:rPr>
              <w:t xml:space="preserve">RQ2</w:t>
            </w:r>
          </w:p>
        </w:tc>
        <w:tc>
          <w:tcPr>
            <w:tcW w:type="dxa" w:w="5100"/>
            <w:shd w:fill="EEF1F7" w:color="auto" w:val="clear"/>
            <w:tcMar>
              <w:top w:type="dxa" w:w="45"/>
              <w:left w:type="dxa" w:w="80"/>
              <w:bottom w:type="dxa" w:w="45"/>
              <w:right w:type="dxa" w:w="80"/>
            </w:tcMar>
          </w:tcPr>
          <w:p>
            <w:pPr>
              <w:spacing w:after="0" w:line="230"/>
            </w:pPr>
            <w:r>
              <w:rPr>
                <w:sz w:val="17"/>
                <w:szCs w:val="17"/>
              </w:rPr>
              <w:t xml:space="preserve">Which MOO family suits objectives that are compute budgets over shared nested weights?</w:t>
            </w:r>
          </w:p>
        </w:tc>
        <w:tc>
          <w:tcPr>
            <w:tcW w:type="dxa" w:w="4346"/>
            <w:shd w:fill="EEF1F7" w:color="auto" w:val="clear"/>
            <w:tcMar>
              <w:top w:type="dxa" w:w="45"/>
              <w:left w:type="dxa" w:w="80"/>
              <w:bottom w:type="dxa" w:w="45"/>
              <w:right w:type="dxa" w:w="80"/>
            </w:tcMar>
          </w:tcPr>
          <w:p>
            <w:pPr>
              <w:spacing w:after="0" w:line="230"/>
            </w:pPr>
            <w:r>
              <w:rPr>
                <w:sz w:val="17"/>
                <w:szCs w:val="17"/>
              </w:rPr>
              <w:t xml:space="preserve">ε-indicator, spread, training overhead</w:t>
            </w:r>
          </w:p>
        </w:tc>
      </w:tr>
      <w:tr>
        <w:trPr>
          <w:tblHeader w:val="false"/>
        </w:trPr>
        <w:tc>
          <w:tcPr>
            <w:tcW w:type="dxa" w:w="600"/>
            <w:tcMar>
              <w:top w:type="dxa" w:w="45"/>
              <w:left w:type="dxa" w:w="80"/>
              <w:bottom w:type="dxa" w:w="45"/>
              <w:right w:type="dxa" w:w="80"/>
            </w:tcMar>
          </w:tcPr>
          <w:p>
            <w:pPr>
              <w:spacing w:after="0" w:line="230"/>
            </w:pPr>
            <w:r>
              <w:rPr>
                <w:sz w:val="17"/>
                <w:szCs w:val="17"/>
              </w:rPr>
              <w:t xml:space="preserve">RQ3</w:t>
            </w:r>
          </w:p>
        </w:tc>
        <w:tc>
          <w:tcPr>
            <w:tcW w:type="dxa" w:w="5100"/>
            <w:tcMar>
              <w:top w:type="dxa" w:w="45"/>
              <w:left w:type="dxa" w:w="80"/>
              <w:bottom w:type="dxa" w:w="45"/>
              <w:right w:type="dxa" w:w="80"/>
            </w:tcMar>
          </w:tcPr>
          <w:p>
            <w:pPr>
              <w:spacing w:after="0" w:line="230"/>
            </w:pPr>
            <w:r>
              <w:rPr>
                <w:sz w:val="17"/>
                <w:szCs w:val="17"/>
              </w:rPr>
              <w:t xml:space="preserve">Can budget nesting and capability nesting coexist in one weight set?</w:t>
            </w:r>
          </w:p>
        </w:tc>
        <w:tc>
          <w:tcPr>
            <w:tcW w:type="dxa" w:w="4346"/>
            <w:tcMar>
              <w:top w:type="dxa" w:w="45"/>
              <w:left w:type="dxa" w:w="80"/>
              <w:bottom w:type="dxa" w:w="45"/>
              <w:right w:type="dxa" w:w="80"/>
            </w:tcMar>
          </w:tcPr>
          <w:p>
            <w:pPr>
              <w:spacing w:after="0" w:line="230"/>
            </w:pPr>
            <w:r>
              <w:rPr>
                <w:sz w:val="17"/>
                <w:szCs w:val="17"/>
              </w:rPr>
              <w:t xml:space="preserve">(β, λ) model vs single-λ at matched β</w:t>
            </w:r>
          </w:p>
        </w:tc>
      </w:tr>
      <w:tr>
        <w:trPr>
          <w:tblHeader w:val="false"/>
        </w:trPr>
        <w:tc>
          <w:tcPr>
            <w:tcW w:type="dxa" w:w="600"/>
            <w:shd w:fill="EEF1F7" w:color="auto" w:val="clear"/>
            <w:tcMar>
              <w:top w:type="dxa" w:w="45"/>
              <w:left w:type="dxa" w:w="80"/>
              <w:bottom w:type="dxa" w:w="45"/>
              <w:right w:type="dxa" w:w="80"/>
            </w:tcMar>
          </w:tcPr>
          <w:p>
            <w:pPr>
              <w:spacing w:after="0" w:line="230"/>
            </w:pPr>
            <w:r>
              <w:rPr>
                <w:sz w:val="17"/>
                <w:szCs w:val="17"/>
              </w:rPr>
              <w:t xml:space="preserve">RQ4</w:t>
            </w:r>
          </w:p>
        </w:tc>
        <w:tc>
          <w:tcPr>
            <w:tcW w:type="dxa" w:w="5100"/>
            <w:shd w:fill="EEF1F7" w:color="auto" w:val="clear"/>
            <w:tcMar>
              <w:top w:type="dxa" w:w="45"/>
              <w:left w:type="dxa" w:w="80"/>
              <w:bottom w:type="dxa" w:w="45"/>
              <w:right w:type="dxa" w:w="80"/>
            </w:tcMar>
          </w:tcPr>
          <w:p>
            <w:pPr>
              <w:spacing w:after="0" w:line="230"/>
            </w:pPr>
            <w:r>
              <w:rPr>
                <w:sz w:val="17"/>
                <w:szCs w:val="17"/>
              </w:rPr>
              <w:t xml:space="preserve">Do parameter reductions become wall-clock gains for batch-1 decode on edge?</w:t>
            </w:r>
          </w:p>
        </w:tc>
        <w:tc>
          <w:tcPr>
            <w:tcW w:type="dxa" w:w="4346"/>
            <w:shd w:fill="EEF1F7" w:color="auto" w:val="clear"/>
            <w:tcMar>
              <w:top w:type="dxa" w:w="45"/>
              <w:left w:type="dxa" w:w="80"/>
              <w:bottom w:type="dxa" w:w="45"/>
              <w:right w:type="dxa" w:w="80"/>
            </w:tcMar>
          </w:tcPr>
          <w:p>
            <w:pPr>
              <w:spacing w:after="0" w:line="230"/>
            </w:pPr>
            <w:r>
              <w:rPr>
                <w:sz w:val="17"/>
                <w:szCs w:val="17"/>
              </w:rPr>
              <w:t xml:space="preserve">TTFT and TPOT reported separately, Jetson Orin</w:t>
            </w:r>
          </w:p>
        </w:tc>
      </w:tr>
    </w:tbl>
    <w:p>
      <w:pPr>
        <w:spacing w:after="60" w:line="240"/>
      </w:pPr>
      <w:r>
        <w:rPr>
          <w:sz w:val="18"/>
          <w:szCs w:val="18"/>
        </w:rPr>
        <w:t xml:space="preserve"/>
      </w:r>
    </w:p>
    <w:p>
      <w:pPr>
        <w:spacing w:after="80" w:line="240"/>
      </w:pPr>
      <w:r>
        <w:rPr>
          <w:b/>
          <w:bCs/>
          <w:sz w:val="18"/>
          <w:szCs w:val="18"/>
        </w:rPr>
        <w:t xml:space="preserve">RQ1 is the pivot — and a negative answer is still publishable: </w:t>
      </w:r>
      <w:r>
        <w:rPr>
          <w:sz w:val="18"/>
          <w:szCs w:val="18"/>
        </w:rPr>
        <w:t xml:space="preserve">it would tell the elastic-models community that the simple objective suffices, and the thesis re-centres on RQ3 and RQ4.</w:t>
      </w:r>
    </w:p>
    <w:p>
      <w:pPr>
        <w:pBdr>
          <w:bottom w:val="single" w:color="C3CCDE" w:sz="4"/>
        </w:pBdr>
        <w:spacing w:after="70" w:before="150"/>
      </w:pPr>
      <w:r>
        <w:rPr>
          <w:b/>
          <w:bCs/>
          <w:color w:val="1F3864"/>
          <w:spacing w:val="20"/>
          <w:sz w:val="18"/>
          <w:szCs w:val="18"/>
        </w:rPr>
        <w:t xml:space="preserve">TIMELINE</w:t>
      </w:r>
    </w:p>
    <w:tbl>
      <w:tblPr>
        <w:tblW w:type="dxa" w:w="10046"/>
        <w:tblBorders>
          <w:top w:val="single" w:color="AAB4C8" w:sz="2"/>
          <w:left w:val="single" w:color="AAB4C8" w:sz="2"/>
          <w:bottom w:val="single" w:color="AAB4C8" w:sz="2"/>
          <w:right w:val="single" w:color="AAB4C8" w:sz="2"/>
          <w:insideH w:val="single" w:color="D3DAE6" w:sz="2"/>
          <w:insideV w:val="single" w:color="D3DAE6" w:sz="2"/>
        </w:tblBorders>
      </w:tblPr>
      <w:tblGrid>
        <w:gridCol w:w="900"/>
        <w:gridCol w:w="900"/>
        <w:gridCol w:w="8246"/>
      </w:tblGrid>
      <w:tr>
        <w:trPr>
          <w:tblHeader/>
        </w:trPr>
        <w:tc>
          <w:tcPr>
            <w:tcW w:type="dxa" w:w="900"/>
            <w:shd w:fill="1F3864" w:color="auto" w:val="clear"/>
            <w:tcMar>
              <w:top w:type="dxa" w:w="45"/>
              <w:left w:type="dxa" w:w="80"/>
              <w:bottom w:type="dxa" w:w="45"/>
              <w:right w:type="dxa" w:w="80"/>
            </w:tcMar>
          </w:tcPr>
          <w:p>
            <w:pPr>
              <w:spacing w:after="0" w:line="230"/>
            </w:pPr>
            <w:r>
              <w:rPr>
                <w:b/>
                <w:bCs/>
                <w:color w:val="FFFFFF"/>
                <w:sz w:val="17"/>
                <w:szCs w:val="17"/>
              </w:rPr>
              <w:t xml:space="preserve">WP</w:t>
            </w:r>
          </w:p>
        </w:tc>
        <w:tc>
          <w:tcPr>
            <w:tcW w:type="dxa" w:w="900"/>
            <w:shd w:fill="1F3864" w:color="auto" w:val="clear"/>
            <w:tcMar>
              <w:top w:type="dxa" w:w="45"/>
              <w:left w:type="dxa" w:w="80"/>
              <w:bottom w:type="dxa" w:w="45"/>
              <w:right w:type="dxa" w:w="80"/>
            </w:tcMar>
          </w:tcPr>
          <w:p>
            <w:pPr>
              <w:spacing w:after="0" w:line="230"/>
            </w:pPr>
            <w:r>
              <w:rPr>
                <w:b/>
                <w:bCs/>
                <w:color w:val="FFFFFF"/>
                <w:sz w:val="17"/>
                <w:szCs w:val="17"/>
              </w:rPr>
              <w:t xml:space="preserve">Months</w:t>
            </w:r>
          </w:p>
        </w:tc>
        <w:tc>
          <w:tcPr>
            <w:tcW w:type="dxa" w:w="8246"/>
            <w:shd w:fill="1F3864" w:color="auto" w:val="clear"/>
            <w:tcMar>
              <w:top w:type="dxa" w:w="45"/>
              <w:left w:type="dxa" w:w="80"/>
              <w:bottom w:type="dxa" w:w="45"/>
              <w:right w:type="dxa" w:w="80"/>
            </w:tcMar>
          </w:tcPr>
          <w:p>
            <w:pPr>
              <w:spacing w:after="0" w:line="230"/>
            </w:pPr>
            <w:r>
              <w:rPr>
                <w:b/>
                <w:bCs/>
                <w:color w:val="FFFFFF"/>
                <w:sz w:val="17"/>
                <w:szCs w:val="17"/>
              </w:rPr>
              <w:t xml:space="preserve">Content and gate</w:t>
            </w:r>
          </w:p>
        </w:tc>
      </w:tr>
      <w:tr>
        <w:trPr>
          <w:tblHeader w:val="false"/>
        </w:trPr>
        <w:tc>
          <w:tcPr>
            <w:tcW w:type="dxa" w:w="900"/>
            <w:tcMar>
              <w:top w:type="dxa" w:w="45"/>
              <w:left w:type="dxa" w:w="80"/>
              <w:bottom w:type="dxa" w:w="45"/>
              <w:right w:type="dxa" w:w="80"/>
            </w:tcMar>
          </w:tcPr>
          <w:p>
            <w:pPr>
              <w:spacing w:after="0" w:line="230"/>
            </w:pPr>
            <w:r>
              <w:rPr>
                <w:sz w:val="17"/>
                <w:szCs w:val="17"/>
              </w:rPr>
              <w:t xml:space="preserve">WP0</w:t>
            </w:r>
          </w:p>
        </w:tc>
        <w:tc>
          <w:tcPr>
            <w:tcW w:type="dxa" w:w="900"/>
            <w:tcMar>
              <w:top w:type="dxa" w:w="45"/>
              <w:left w:type="dxa" w:w="80"/>
              <w:bottom w:type="dxa" w:w="45"/>
              <w:right w:type="dxa" w:w="80"/>
            </w:tcMar>
          </w:tcPr>
          <w:p>
            <w:pPr>
              <w:spacing w:after="0" w:line="230"/>
            </w:pPr>
            <w:r>
              <w:rPr>
                <w:sz w:val="17"/>
                <w:szCs w:val="17"/>
              </w:rPr>
              <w:t xml:space="preserve">M1</w:t>
            </w:r>
          </w:p>
        </w:tc>
        <w:tc>
          <w:tcPr>
            <w:tcW w:type="dxa" w:w="8246"/>
            <w:tcMar>
              <w:top w:type="dxa" w:w="45"/>
              <w:left w:type="dxa" w:w="80"/>
              <w:bottom w:type="dxa" w:w="45"/>
              <w:right w:type="dxa" w:w="80"/>
            </w:tcMar>
          </w:tcPr>
          <w:p>
            <w:pPr>
              <w:spacing w:after="0" w:line="230"/>
            </w:pPr>
            <w:r>
              <w:rPr>
                <w:sz w:val="17"/>
                <w:szCs w:val="17"/>
              </w:rPr>
              <w:t xml:space="preserve">Reproduce the published elastic low-rank Pareto curve on GPT-2 and Llama-3.2-1B</w:t>
            </w:r>
          </w:p>
        </w:tc>
      </w:tr>
      <w:tr>
        <w:trPr>
          <w:tblHeader w:val="false"/>
        </w:trPr>
        <w:tc>
          <w:tcPr>
            <w:tcW w:type="dxa" w:w="900"/>
            <w:shd w:fill="EEF1F7" w:color="auto" w:val="clear"/>
            <w:tcMar>
              <w:top w:type="dxa" w:w="45"/>
              <w:left w:type="dxa" w:w="80"/>
              <w:bottom w:type="dxa" w:w="45"/>
              <w:right w:type="dxa" w:w="80"/>
            </w:tcMar>
          </w:tcPr>
          <w:p>
            <w:pPr>
              <w:spacing w:after="0" w:line="230"/>
            </w:pPr>
            <w:r>
              <w:rPr>
                <w:sz w:val="17"/>
                <w:szCs w:val="17"/>
              </w:rPr>
              <w:t xml:space="preserve">WP1</w:t>
            </w:r>
          </w:p>
        </w:tc>
        <w:tc>
          <w:tcPr>
            <w:tcW w:type="dxa" w:w="900"/>
            <w:shd w:fill="EEF1F7" w:color="auto" w:val="clear"/>
            <w:tcMar>
              <w:top w:type="dxa" w:w="45"/>
              <w:left w:type="dxa" w:w="80"/>
              <w:bottom w:type="dxa" w:w="45"/>
              <w:right w:type="dxa" w:w="80"/>
            </w:tcMar>
          </w:tcPr>
          <w:p>
            <w:pPr>
              <w:spacing w:after="0" w:line="230"/>
            </w:pPr>
            <w:r>
              <w:rPr>
                <w:sz w:val="17"/>
                <w:szCs w:val="17"/>
              </w:rPr>
              <w:t xml:space="preserve">M2–3</w:t>
            </w:r>
          </w:p>
        </w:tc>
        <w:tc>
          <w:tcPr>
            <w:tcW w:type="dxa" w:w="8246"/>
            <w:shd w:fill="EEF1F7" w:color="auto" w:val="clear"/>
            <w:tcMar>
              <w:top w:type="dxa" w:w="45"/>
              <w:left w:type="dxa" w:w="80"/>
              <w:bottom w:type="dxa" w:w="45"/>
              <w:right w:type="dxa" w:w="80"/>
            </w:tcMar>
          </w:tcPr>
          <w:p>
            <w:pPr>
              <w:spacing w:after="0" w:line="230"/>
            </w:pPr>
            <w:r>
              <w:rPr>
                <w:sz w:val="17"/>
                <w:szCs w:val="17"/>
              </w:rPr>
              <w:t xml:space="preserve">Stage A on two SLMs — gate: beats decomposition-plus-search without consolidation</w:t>
            </w:r>
          </w:p>
        </w:tc>
      </w:tr>
      <w:tr>
        <w:trPr>
          <w:tblHeader w:val="false"/>
        </w:trPr>
        <w:tc>
          <w:tcPr>
            <w:tcW w:type="dxa" w:w="900"/>
            <w:tcMar>
              <w:top w:type="dxa" w:w="45"/>
              <w:left w:type="dxa" w:w="80"/>
              <w:bottom w:type="dxa" w:w="45"/>
              <w:right w:type="dxa" w:w="80"/>
            </w:tcMar>
          </w:tcPr>
          <w:p>
            <w:pPr>
              <w:spacing w:after="0" w:line="230"/>
            </w:pPr>
            <w:r>
              <w:rPr>
                <w:sz w:val="17"/>
                <w:szCs w:val="17"/>
              </w:rPr>
              <w:t xml:space="preserve">WP2</w:t>
            </w:r>
          </w:p>
        </w:tc>
        <w:tc>
          <w:tcPr>
            <w:tcW w:type="dxa" w:w="900"/>
            <w:tcMar>
              <w:top w:type="dxa" w:w="45"/>
              <w:left w:type="dxa" w:w="80"/>
              <w:bottom w:type="dxa" w:w="45"/>
              <w:right w:type="dxa" w:w="80"/>
            </w:tcMar>
          </w:tcPr>
          <w:p>
            <w:pPr>
              <w:spacing w:after="0" w:line="230"/>
            </w:pPr>
            <w:r>
              <w:rPr>
                <w:sz w:val="17"/>
                <w:szCs w:val="17"/>
              </w:rPr>
              <w:t xml:space="preserve">M4–6</w:t>
            </w:r>
          </w:p>
        </w:tc>
        <w:tc>
          <w:tcPr>
            <w:tcW w:type="dxa" w:w="8246"/>
            <w:tcMar>
              <w:top w:type="dxa" w:w="45"/>
              <w:left w:type="dxa" w:w="80"/>
              <w:bottom w:type="dxa" w:w="45"/>
              <w:right w:type="dxa" w:w="80"/>
            </w:tcMar>
          </w:tcPr>
          <w:p>
            <w:pPr>
              <w:spacing w:after="0" w:line="230"/>
            </w:pPr>
            <w:r>
              <w:rPr>
                <w:sz w:val="17"/>
                <w:szCs w:val="17"/>
              </w:rPr>
              <w:t xml:space="preserve">Stage B, the core contribution — gate: hypervolume gain, or a documented negative for RQ1</w:t>
            </w:r>
          </w:p>
        </w:tc>
      </w:tr>
      <w:tr>
        <w:trPr>
          <w:tblHeader w:val="false"/>
        </w:trPr>
        <w:tc>
          <w:tcPr>
            <w:tcW w:type="dxa" w:w="900"/>
            <w:shd w:fill="EEF1F7" w:color="auto" w:val="clear"/>
            <w:tcMar>
              <w:top w:type="dxa" w:w="45"/>
              <w:left w:type="dxa" w:w="80"/>
              <w:bottom w:type="dxa" w:w="45"/>
              <w:right w:type="dxa" w:w="80"/>
            </w:tcMar>
          </w:tcPr>
          <w:p>
            <w:pPr>
              <w:spacing w:after="0" w:line="230"/>
            </w:pPr>
            <w:r>
              <w:rPr>
                <w:sz w:val="17"/>
                <w:szCs w:val="17"/>
              </w:rPr>
              <w:t xml:space="preserve">WP3</w:t>
            </w:r>
          </w:p>
        </w:tc>
        <w:tc>
          <w:tcPr>
            <w:tcW w:type="dxa" w:w="900"/>
            <w:shd w:fill="EEF1F7" w:color="auto" w:val="clear"/>
            <w:tcMar>
              <w:top w:type="dxa" w:w="45"/>
              <w:left w:type="dxa" w:w="80"/>
              <w:bottom w:type="dxa" w:w="45"/>
              <w:right w:type="dxa" w:w="80"/>
            </w:tcMar>
          </w:tcPr>
          <w:p>
            <w:pPr>
              <w:spacing w:after="0" w:line="230"/>
            </w:pPr>
            <w:r>
              <w:rPr>
                <w:sz w:val="17"/>
                <w:szCs w:val="17"/>
              </w:rPr>
              <w:t xml:space="preserve">M6–8</w:t>
            </w:r>
          </w:p>
        </w:tc>
        <w:tc>
          <w:tcPr>
            <w:tcW w:type="dxa" w:w="8246"/>
            <w:shd w:fill="EEF1F7" w:color="auto" w:val="clear"/>
            <w:tcMar>
              <w:top w:type="dxa" w:w="45"/>
              <w:left w:type="dxa" w:w="80"/>
              <w:bottom w:type="dxa" w:w="45"/>
              <w:right w:type="dxa" w:w="80"/>
            </w:tcMar>
          </w:tcPr>
          <w:p>
            <w:pPr>
              <w:spacing w:after="0" w:line="230"/>
            </w:pPr>
            <w:r>
              <w:rPr>
                <w:sz w:val="17"/>
                <w:szCs w:val="17"/>
              </w:rPr>
              <w:t xml:space="preserve">Stage C two-axis nesting — truncatable to a single capability if time runs short</w:t>
            </w:r>
          </w:p>
        </w:tc>
      </w:tr>
      <w:tr>
        <w:trPr>
          <w:tblHeader w:val="false"/>
        </w:trPr>
        <w:tc>
          <w:tcPr>
            <w:tcW w:type="dxa" w:w="900"/>
            <w:tcMar>
              <w:top w:type="dxa" w:w="45"/>
              <w:left w:type="dxa" w:w="80"/>
              <w:bottom w:type="dxa" w:w="45"/>
              <w:right w:type="dxa" w:w="80"/>
            </w:tcMar>
          </w:tcPr>
          <w:p>
            <w:pPr>
              <w:spacing w:after="0" w:line="230"/>
            </w:pPr>
            <w:r>
              <w:rPr>
                <w:sz w:val="17"/>
                <w:szCs w:val="17"/>
              </w:rPr>
              <w:t xml:space="preserve">WP4</w:t>
            </w:r>
          </w:p>
        </w:tc>
        <w:tc>
          <w:tcPr>
            <w:tcW w:type="dxa" w:w="900"/>
            <w:tcMar>
              <w:top w:type="dxa" w:w="45"/>
              <w:left w:type="dxa" w:w="80"/>
              <w:bottom w:type="dxa" w:w="45"/>
              <w:right w:type="dxa" w:w="80"/>
            </w:tcMar>
          </w:tcPr>
          <w:p>
            <w:pPr>
              <w:spacing w:after="0" w:line="230"/>
            </w:pPr>
            <w:r>
              <w:rPr>
                <w:sz w:val="17"/>
                <w:szCs w:val="17"/>
              </w:rPr>
              <w:t xml:space="preserve">M8–9</w:t>
            </w:r>
          </w:p>
        </w:tc>
        <w:tc>
          <w:tcPr>
            <w:tcW w:type="dxa" w:w="8246"/>
            <w:tcMar>
              <w:top w:type="dxa" w:w="45"/>
              <w:left w:type="dxa" w:w="80"/>
              <w:bottom w:type="dxa" w:w="45"/>
              <w:right w:type="dxa" w:w="80"/>
            </w:tcMar>
          </w:tcPr>
          <w:p>
            <w:pPr>
              <w:spacing w:after="0" w:line="230"/>
            </w:pPr>
            <w:r>
              <w:rPr>
                <w:sz w:val="17"/>
                <w:szCs w:val="17"/>
              </w:rPr>
              <w:t xml:space="preserve">Jetson Orin measurement, switch latency, KV-cache reuse; thesis and paper draft</w:t>
            </w:r>
          </w:p>
        </w:tc>
      </w:tr>
    </w:tbl>
    <w:p>
      <w:pPr>
        <w:pBdr>
          <w:bottom w:val="single" w:color="C3CCDE" w:sz="4"/>
        </w:pBdr>
        <w:spacing w:after="70" w:before="150"/>
      </w:pPr>
      <w:r>
        <w:rPr>
          <w:b/>
          <w:bCs/>
          <w:color w:val="1F3864"/>
          <w:spacing w:val="20"/>
          <w:sz w:val="18"/>
          <w:szCs w:val="18"/>
        </w:rPr>
        <w:t xml:space="preserve">WHO THIS SUITS</w:t>
      </w:r>
    </w:p>
    <w:p>
      <w:pPr>
        <w:spacing w:after="80" w:line="240"/>
      </w:pPr>
      <w:r>
        <w:rPr>
          <w:sz w:val="18"/>
          <w:szCs w:val="18"/>
        </w:rPr>
        <w:t xml:space="preserve">A student comfortable reading a method paper and reimplementing it, rather than one looking for a well-specified engineering task. Strong PyTorch; solid linear algebra (SVD and subspace reasoning are load-bearing, not incidental); some optimization background — prior exposure to multi-objective or multi-task optimization helps but can be acquired during WP2. Jetson or inference-serving experience is a bonus.</w:t>
      </w:r>
    </w:p>
    <w:p>
      <w:pPr>
        <w:spacing w:after="0" w:line="240"/>
      </w:pPr>
      <w:r>
        <w:rPr>
          <w:b/>
          <w:bCs/>
          <w:sz w:val="18"/>
          <w:szCs w:val="18"/>
        </w:rPr>
        <w:t xml:space="preserve">Resources: </w:t>
      </w:r>
      <w:r>
        <w:rPr>
          <w:sz w:val="18"/>
          <w:szCs w:val="18"/>
        </w:rPr>
        <w:t xml:space="preserve">8×RTX 3090 for training, Jetson Orin for deployment measurement; FineWeb-Edu, GSM8K and MBPP-style corpora; lm-eval-harness. Existing Elastoformer and FlexRank codebases available as a starting point.</w:t>
      </w:r>
    </w:p>
    <w:sectPr>
      <w:pgSz w:w="11906" w:h="16838" w:orient="portrait"/>
      <w:pgMar w:top="1008" w:right="1008" w:bottom="79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2026-08-27T11:29:07.466Z</dcterms:created>
  <dcterms:modified xsi:type="dcterms:W3CDTF">2026-08-27T11:29:07.466Z</dcterms:modified>
</cp:coreProperties>
</file>

<file path=docProps/custom.xml><?xml version="1.0" encoding="utf-8"?>
<Properties xmlns="http://schemas.openxmlformats.org/officeDocument/2006/custom-properties" xmlns:vt="http://schemas.openxmlformats.org/officeDocument/2006/docPropsVTypes"/>
</file>