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12B58C58" w14:textId="77777777" w:rsidR="005E78F1" w:rsidRDefault="00E1738F" w:rsidP="00E41ED6">
      <w:pPr>
        <w:jc w:val="both"/>
        <w:rPr>
          <w:sz w:val="24"/>
          <w:szCs w:val="24"/>
        </w:rPr>
      </w:pPr>
      <w:r>
        <w:rPr>
          <w:sz w:val="24"/>
          <w:szCs w:val="24"/>
        </w:rPr>
        <w:lastRenderedPageBreak/>
        <w:t xml:space="preserve">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12B58C58" w14:textId="77777777" w:rsidR="005E78F1" w:rsidRDefault="00E1738F" w:rsidP="00E41ED6">
      <w:pPr>
        <w:jc w:val="both"/>
        <w:rPr>
          <w:sz w:val="24"/>
          <w:szCs w:val="24"/>
        </w:rPr>
      </w:pPr>
      <w:r>
        <w:rPr>
          <w:sz w:val="24"/>
          <w:szCs w:val="24"/>
        </w:rPr>
        <w:lastRenderedPageBreak/>
        <w:t xml:space="preserve">This paper is not about that system. It is about what we found when we tried to understand the score it received.</w:t>
      </w:r>
    </w:p>
    <w:p w14:paraId="12B58C58" w14:textId="77777777" w:rsidR="005E78F1" w:rsidRDefault="00E1738F" w:rsidP="00E41ED6">
      <w:pPr>
        <w:jc w:val="both"/>
        <w:rPr>
          <w:sz w:val="24"/>
          <w:szCs w:val="24"/>
        </w:rPr>
      </w:pPr>
      <w:r>
        <w:rPr>
          <w:sz w:val="24"/>
          <w:szCs w:val="24"/>
        </w:rPr>
        <w:lastRenderedPageBreak/>
        <w:t xml:space="preserve">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12B58C58" w14:textId="77777777" w:rsidR="005E78F1" w:rsidRDefault="00E1738F" w:rsidP="00E41ED6">
      <w:pPr>
        <w:jc w:val="both"/>
        <w:rPr>
          <w:sz w:val="24"/>
          <w:szCs w:val="24"/>
        </w:rPr>
      </w:pPr>
      <w:r>
        <w:rPr>
          <w:sz w:val="24"/>
          <w:szCs w:val="24"/>
        </w:rPr>
        <w:lastRenderedPageBreak/>
        <w:t xml:space="preserve">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12B58C58" w14:textId="77777777" w:rsidR="005E78F1" w:rsidRDefault="00E1738F" w:rsidP="00E41ED6">
      <w:pPr>
        <w:jc w:val="both"/>
        <w:rPr>
          <w:sz w:val="24"/>
          <w:szCs w:val="24"/>
        </w:rPr>
      </w:pPr>
      <w:r>
        <w:rPr>
          <w:sz w:val="24"/>
          <w:szCs w:val="24"/>
        </w:rPr>
        <w:lastRenderedPageBreak/>
        <w:t xml:space="preserve">So we submitted the constant. It scored 2.35291 against a winning score of 2.50165, matching the eighth-placed team at the precision the leaderboard displays.</w:t>
      </w:r>
    </w:p>
    <w:p w14:paraId="12B58C58" w14:textId="77777777" w:rsidR="005E78F1" w:rsidRDefault="00E1738F" w:rsidP="00E41ED6">
      <w:pPr>
        <w:jc w:val="both"/>
        <w:rPr>
          <w:sz w:val="24"/>
          <w:szCs w:val="24"/>
        </w:rPr>
      </w:pPr>
      <w:r>
        <w:rPr>
          <w:sz w:val="24"/>
          <w:szCs w:val="24"/>
        </w:rPr>
        <w:lastRenderedPageBreak/>
        <w:t xml:space="preserve">The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six-point protocol. Our own entry scores below the constant and we report it. The protocol's first item — report a video-blind control with every result — costs an afternoon and would have caught this.</w:t>
      </w:r>
    </w:p>
    <w:p w14:paraId="12B58C58" w14:textId="77777777" w:rsidR="005E78F1" w:rsidRDefault="00E1738F" w:rsidP="00E41ED6">
      <w:pPr>
        <w:jc w:val="both"/>
        <w:rPr>
          <w:sz w:val="24"/>
          <w:szCs w:val="24"/>
        </w:rPr>
      </w:pPr>
      <w:r>
        <w:rPr>
          <w:sz w:val="24"/>
          <w:szCs w:val="24"/>
        </w:rPr>
        <w:lastRenderedPageBreak/>
        <w:t xml:space="preserve">One point of scope, because this paper prints a number beside other teams' numbers.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12B58C58" w14:textId="77777777" w:rsidR="005E78F1" w:rsidRDefault="00E1738F" w:rsidP="00E41ED6">
      <w:pPr>
        <w:jc w:val="both"/>
        <w:rPr>
          <w:sz w:val="24"/>
          <w:szCs w:val="24"/>
        </w:rPr>
      </w:pPr>
      <w:r>
        <w:rPr>
          <w:sz w:val="24"/>
          <w:szCs w:val="24"/>
        </w:rPr>
        <w:lastRenderedPageBreak/>
        <w:t xml:space="preserve">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denotes the predicted probability score for accident occurrence without any observation on the accident. The risk should start with low value of 0 and rise to high nearing 1 before the accident happen. The earlier the risk crosses 0.5, the better the score. That last sentence is not a design preference; it is a literal description of the official metric, and it is the subject of this paper. Section 5 shows that a score which crosses at frame 0 and never falls collects almost all of what the metric awards.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4.     Evaluation metrics such as Area under Precision-recall (AP), Area Under Curve (AUC), Time to Accident (TTA) @0.5, and Stable Time to Accident (STTA) @0.5 must be optimized simultaneously. None of the four can be computed by an entrant, because the corpus publishes no labels (Section 3.3); all four are computed by the organisers alone.</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lastRenderedPageBreak/>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at 30 frames per second, five seconds in duration, 150 frames in total. It is distributed as a directory of JPEG frames rather than as an encoded video file, and it carries no audio. Alongside the frames the distribution supplies driver gaze maps and one short text caption per clip; the scene categories and the weather and lighting conditions are described in the competition documentation rather than supplied as per-clip fields.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Homography-based stabilisation against camera shake from road bumps, by derotating and detranslating consecutive frames, was specified in the design but is not present in the released code. The motion signal is therefore computed on unstabilised frames and camera shake remains in it. We state this because the frame-difference proxy described below is sensitive to exactly that.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“Are the objects moving with principles from normal physics or deviations?”.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Recurrent All-Pairs Field Transforms (RAFT) is considered to be more accurate, however we adopted to use frame difference because of the GPU compute requirement. The trade-off between the two was never measured. An earlier version of this work asserted that frame differencing retains about 90% of RAFT's sensitivity at about 1% of its cost; that figure was an estimate, no ablation was run, and it is withdrawn here. What can be said is that frame differencing was chosen because the RAFT estimator of Teed and Deng [10] did not fit the compute budget available, and that the substitution is an untested approximation.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lastRenderedPageBreak/>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lastRenderedPageBreak/>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Table 6 reproduces the final private leaderboard as published. Table 7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Table 6: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Table 7: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Table 8: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Table 9: The score's components, recovered from Table 8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readings follow from Table 7.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Table 10: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11: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three curves in the middle of Table 11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5.6.1. What the proxy reported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Table 12: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5D73AF41" w14:textId="77777777" w:rsidR="009E5459" w:rsidRPr="009E5459" w:rsidRDefault="009E5459" w:rsidP="009E5459">
      <w:pPr>
        <w:spacing w:after="60"/>
        <w:rPr>
          <w:sz w:val="24"/>
          <w:szCs w:val="24"/>
        </w:rPr>
      </w:pP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The modality ablation of Table 13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13: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5.6.2. The selected subsets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0.9871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14: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14,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3CEA578D" w14:textId="77777777" w:rsidR="009E5459" w:rsidRPr="009E5459" w:rsidRDefault="009E5459" w:rsidP="009E5459">
      <w:pPr>
        <w:spacing w:before="160" w:after="60"/>
        <w:rPr>
          <w:sz w:val="24"/>
          <w:szCs w:val="24"/>
        </w:rPr>
      </w:pPr>
      <w:r>
        <w:rPr>
          <w:rFonts w:eastAsia="Times New Roman"/>
          <w:b/>
          <w:bCs/>
          <w:i/>
          <w:iCs/>
          <w:sz w:val="24"/>
          <w:szCs w:val="24"/>
        </w:rPr>
        <w:t xml:space="preserve">5.6.3. The seven configurations</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Table 15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15: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