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Pre-crash systems differ from reactive ones in that the prediction must precede the event. This section states the problem, describes the system that was entered, and defines the video-blind controls and the probes with which the metric was later measured.</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 xml:space="preserve">2.     The clips are diverse in accident type and in condition — lane changes, rear-end collisions, red-light violations, pedestrians; rain, fog, night, tunnels, mountain roads — and no training data is available to adapt to any of them.</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The four official metrics — AP, AUC, TTA@0.5 and STTA@0.5 — must be optimised together, and none of them can be computed by an entrant, because the corpus publishes no labels (Section 3.3).</w:t>
      </w:r>
    </w:p>
    <w:p w14:paraId="6EA59219" w14:textId="77777777" w:rsidR="00821E48" w:rsidRPr="00821E48" w:rsidRDefault="00821E48" w:rsidP="00821E48">
      <w:pPr>
        <w:jc w:val="both"/>
        <w:rPr>
          <w:sz w:val="24"/>
          <w:szCs w:val="24"/>
          <w:lang w:val="en-IN"/>
        </w:rPr>
      </w:pPr>
      <w:r>
        <w:rPr>
          <w:sz w:val="24"/>
          <w:szCs w:val="24"/>
          <w:lang w:val="en-IN"/>
        </w:rPr>
        <w:t> </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16D2BD7C" w14:textId="77777777" w:rsidR="00DF7BF0" w:rsidRDefault="00DF7BF0" w:rsidP="00DF7BF0">
      <w:pPr>
        <w:jc w:val="both"/>
        <w:rPr>
          <w:i/>
          <w:iCs/>
          <w:sz w:val="24"/>
          <w:szCs w:val="24"/>
          <w:lang w:val="en-IN"/>
        </w:rPr>
      </w:pP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296484"/>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296484"/>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 xml:space="preserve">Figure 1: The pipeline as implemented. Dashed stages are the two analysed in Section 6: the monotone clamp forces the condition the stable-timing metric tests, and the temporal compression reported at each frame a score computed from a later one.</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three engines were chosen by trial rather than by training, since no training data exists. The reason for each is given below.</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430035FD" w14:textId="77777777" w:rsidR="00DF1633" w:rsidRDefault="00DF1633" w:rsidP="001B15EF">
      <w:pPr>
        <w:jc w:val="both"/>
        <w:rPr>
          <w:sz w:val="24"/>
          <w:szCs w:val="24"/>
        </w:rPr>
      </w:pPr>
    </w:p>
    <w:p w14:paraId="1E94217F" w14:textId="77777777" w:rsidR="00EB47F3" w:rsidRPr="00EB47F3" w:rsidRDefault="00EB47F3" w:rsidP="001B15EF">
      <w:pPr>
        <w:jc w:val="both"/>
        <w:rPr>
          <w:b/>
          <w:bCs/>
          <w:sz w:val="24"/>
          <w:szCs w:val="24"/>
        </w:rPr>
      </w:pPr>
      <w:r>
        <w:rPr>
          <w:b/>
          <w:bCs/>
          <w:sz w:val="24"/>
          <w:szCs w:val="24"/>
        </w:rPr>
        <w:t xml:space="preserve">   </w:t>
      </w:r>
    </w:p>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1 records how the encoder was chosen.</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 xml:space="preserve">Table 1: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1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Ensembling is intended to let each engine cover the others' blind spot: the semantic score supplies what is in the scene, the motion proxy whether it is moving abnormally, and the caption prior when in the clip risk should rise.</w:t>
      </w:r>
    </w:p>
    <w:p w14:paraId="0AC6301A" w14:textId="77777777" w:rsidR="008378D8" w:rsidRDefault="008378D8" w:rsidP="008378D8">
      <w:pPr>
        <w:suppressAutoHyphens w:val="0"/>
        <w:autoSpaceDE/>
        <w:spacing w:before="40" w:after="40" w:line="260" w:lineRule="auto"/>
        <w:jc w:val="both"/>
        <w:rPr>
          <w:sz w:val="24"/>
          <w:szCs w:val="24"/>
        </w:rPr>
      </w:pPr>
    </w:p>
    <w:p w14:paraId="3E57F21A" w14:textId="77777777" w:rsidR="00555B8F" w:rsidRDefault="00555B8F" w:rsidP="00555B8F">
      <w:pPr>
        <w:suppressAutoHyphens w:val="0"/>
        <w:autoSpaceDE/>
        <w:spacing w:before="40" w:after="40" w:line="260" w:lineRule="auto"/>
        <w:jc w:val="both"/>
        <w:rPr>
          <w:sz w:val="24"/>
          <w:szCs w:val="24"/>
        </w:rPr>
      </w:pP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 xml:space="preserve">All 1,417 clips pass through the pipeline of Figure 1. Each clip, standardised to 150 frames bounded by its start and end frames, is fed to the three engines, which compute their curves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7AF69032" w14:textId="77777777" w:rsidR="00A8060B" w:rsidRPr="001D406D" w:rsidRDefault="00A8060B" w:rsidP="001D406D">
      <w:pPr>
        <w:jc w:val="center"/>
        <w:rPr>
          <w:b/>
          <w:bCs/>
          <w:sz w:val="24"/>
          <w:szCs w:val="24"/>
        </w:rPr>
      </w:pP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 xml:space="preserve">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Table 3 reproduces the final private leaderboard as published. Table 4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 xml:space="preserve">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 xml:space="preserve">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 xml:space="preserve">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 4.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 xml:space="preserve">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pPr>
        <w:jc w:val="center"/>
      </w:pPr>
      <w:r>
        <w:drawing>
          <wp:inline distT="0" distB="0" distL="0" distR="0">
            <wp:extent cx="5486400" cy="3331464"/>
            <wp:docPr id="4001" name="Figure 4" descr="Official score against the         frame at which the risk curve crosses 0.5, for video-blind         submissions"/>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900"/>
                    <a:stretch>
                      <a:fillRect/>
                    </a:stretch>
                  </pic:blipFill>
                  <pic:spPr>
                    <a:xfrm>
                      <a:off x="0" y="0"/>
                      <a:ext cx="5486400" cy="3331464"/>
                    </a:xfrm>
                    <a:prstGeom prst="rect">
                      <a:avLst/>
                    </a:prstGeom>
                  </pic:spPr>
                </pic:pic>
              </a:graphicData>
            </a:graphic>
          </wp:inline>
        </w:drawing>
      </w:r>
    </w:p>
    <w:p w14:paraId="7DDDB6F6" w14:textId="593C8CDF" w:rsidR="003660B4" w:rsidRPr="003660B4" w:rsidRDefault="003660B4" w:rsidP="003660B4">
      <w:pPr>
        <w:jc w:val="center"/>
        <w:rPr>
          <w:b/>
          <w:bCs/>
          <w:sz w:val="24"/>
          <w:szCs w:val="24"/>
          <w:lang w:val="en-IN"/>
        </w:rPr>
      </w:pPr>
      <w:r>
        <w:rPr>
          <w:b/>
          <w:bCs/>
          <w:sz w:val="24"/>
          <w:szCs w:val="24"/>
          <w:lang w:val="en-IN"/>
        </w:rPr>
        <w:t xml:space="preserve">Figure 2: The official score is a straight line in the frame at which the alarm fires. Points are video-blind submissions scored by the organisers; the fit is over crossings up to frame 100. A constant crosses at frame 0.</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8: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three curves in the middle of Table 8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5.6.1. What the proxy reported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5D73AF41" w14:textId="77777777" w:rsidR="009E5459" w:rsidRPr="009E5459" w:rsidRDefault="009E5459" w:rsidP="009E5459">
      <w:pPr>
        <w:spacing w:after="60"/>
        <w:rPr>
          <w:sz w:val="24"/>
          <w:szCs w:val="24"/>
        </w:rPr>
      </w:pP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The modality ablation of Table 10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 xml:space="preserve">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5.6.2. The selected subsets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 xml:space="preserve">Table 11,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5.6.3. The seven configurations</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Table 12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