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t xml:space="preserve">Road traffic injury kills approximately 1.19 million people every year [1], and leaves far more with permanent disability. A large share of those deaths are in principle foreseeable in the seconds before they occur, which is what makes anticipation — as opposed to detection after the fact — worth pursuing as an obligation and not only as a research problem [2]. Modern vehicles already carry the necessary instrument. A dashcam holds the primary visual record of the driving environment, including the sudden lane change, the pedestrian stepping off the kerb, and the hard braking of the vehicle ahead [3]. That record is used almost entirely in retrospect, </w:t>
        <w:lastRenderedPageBreak/>
        <w:t>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 xml:space="preserve">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 xml:space="preserve">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 xml:space="preserve">The rest of the paper is organised as follows. Section 2 reviews accident anticipation and the evaluation practice this work examines. Section 3 states the benchmark and its metric exactly, and establishes what an entrant can and cannot compute from them. Section 4 describes the system that was entered, the video-blind control family, and the probe design.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Supervised architectures built on this foundation combine convolutional feature extractors with recurrent or attention-based temporal models trained on labelled dashcam footage [4], [5], [6], [16]. Their shared limitation is dependence on the labelled corpus. Performance degrades on road geometry, weather and traffic culture not represented in training, and collision labels are expensive and rare [2].</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apply a causality-guided spatiotemporal diffusion network to unsupervised detection, and Zhong et al. [19] use contrastive feature-consistency representation with soft-label regression for early anticipation on DAD and CCD.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2.2. Vision–language models and training-free anticipation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CLIP [9] demonstrated that contrastive pretraining on 400 million image–text pairs yields a model whose zero-shot classification and retrieval transfer without task-specific supervision. Instruction-tuned multimodal models such as LLaVA [11] and the InternVL series [12] extend this to open-ended scene description and reasoning, at substantially higher inference cost per frame. Motion is the other signal these systems draw on: dense optical flow, for which RAFT [10] is the standard modern estimator, yields pixel-level motion fields, while frame differencing is the cheap approximation. Section 4 states which of the two the system examined here uses, and declines to assert an accuracy-for-compute trade-off that was not measured.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et al. [15] deploy multimodal large language models for video-based accident analysis, showing that language-level reasoning surfaces causal structure that purely visual models miss. Zhang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2.3. Corpora</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DAD [4] and CCD [5] remain the standard labelled benchmarks and publish their annotations, which is what would make the corrected protocol of Section 7 computable on them. MM-AU [7] is a large ego-view corpus of 11,727 accident videos with object boxes and video–text pairs across 58 accident-reason categories. The Nexar dashcam collision prediction dataset [3] is a separate resource, by a separate group, of roughly 1,500 clips released for a public challenge. The two are sometimes conflated in the literature and should not be.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2.4. What the field reports, and what it does not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[8].</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[3], [7] publish no anticipation scores of their own and so do not bear on the point. That absence, rather than any defect in any particular method, is what this paper addresses.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2.5. Positioning of this work</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contribution of this paper is not an anticipation method. The ensemble described in Section 4 is the instrument that led to the finding and the case study that illustrates it. As a system it is unremarkable, and it placed ninth of thirteen.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are equally explicit about what is not new. Monotonicity constraints on risk scores are prior work [20], [21], and this paper claims none. Training-free pipelines combining CLIP with a motion signal already exist [24]. Nor is the general idea that a benchmark can be satisfied by a degenerate submission new, and the specific suspicion that time-to-accident is inflatable has been voiced before [30], [31], [32], as has the use of a blind control on an adjacent traffic-video task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THE BENCHMARK AND ITS METRIC</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3.1. The competition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[8], a public competition hosted on Kaggle by AUTOPILOT.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3.2. What the corpus provides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MM-AU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3.3. What the corpus withholds, and what follows from it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published test file carries five fields: an identifier, a video identifier, a start frame, an end frame, and a caption. There is no label, no accident time and no alert time. Ground truth is held by the organisers and exposed only through the leaderboard.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them has access to the outcome it is being asked to anticipate. The system described in this section does not use them; it manufactures its own text anchors from a motion statistic. We identify the hazard and do not quantify it.</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3.4. The metric, as published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evaluation page defines the score as a weighted average of four quantities: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score = w_AP · AP + w_AUC · AUC + w_TTA · TTA@0.5 + w_STTA · STTA@0.5</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TTA@0.5 = max { t_ai − t_a  |  p_t &gt; 0.5,  0 ≤ t_a ≤ t_ai }</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STTA@0.5 = max { t_ai − t_a′  |  p_t &gt; 0.5 for all t in [t_a′, t_ai] }</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where t_ai is the accident start frame within the 150-frame clip and t_a is the first frame at which the risk score exceeds the threshold. STTA additionally requires the score to remain above the threshold continuously from t_a′ to t_ai.</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observations follow from these definitions alone, before any measurement is made.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First, AP and AUC are bounded on the unit interval, while TTA and STTA are counted in frames and bounded only by t_ai, and hence by how the corpus was windowed. The four terms are not commensurable, and their sum inherits the scale of the larger pair.</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Third, neither timing term reads the magnitude of the score, only whether it stands above 0.5. A submission that is barely committed and one that is certain receive identical timing credit, so the metric offers no incentive to calibrate.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3.5. Reproducibility of the submission path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 xml:space="preserve">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45586B"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w:t>
        <w:lastRenderedPageBreak/>
        <w:t>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8">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 xml:space="preserve">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 xml:space="preserve">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 xml:space="preserve">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 xml:space="preserve">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 xml:space="preserve">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 xml:space="preserve">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 xml:space="preserve">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 xml:space="preserve">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RAFT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lastRenderedPageBreak/>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 xml:space="preserve">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 xml:space="preserve">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 xml:space="preserve">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 xml:space="preserve">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lastRenderedPageBreak/>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 xml:space="preserve">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t xml:space="preserve">CLIP ViT-L/14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lastRenderedPageBreak/>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9">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 xml:space="preserve">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 xml:space="preserve">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lastRenderedPageBreak/>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m:t>
        </m:r>
      </m:oMath>
      <m:oMath>
        <m:r>
          <w:rPr>
            <w:rFonts w:ascii="Cambria Math" w:hAnsi="Cambria Math"/>
            <w:sz w:val="24"/>
            <w:szCs w:val="24"/>
            <w:lang w:val="en-IN"/>
          </w:rPr>
          <m:t>γ</m:t>
        </m:r>
      </m:oMath>
      <m:oMath>
        <m:r>
          <w:rPr>
            <w:rFonts w:ascii="Cambria Math" w:hAnsi="Cambria Math"/>
            <w:sz w:val="24"/>
            <w:szCs w:val="24"/>
            <w:lang w:val="en-IN"/>
          </w:rPr>
          <m:t>γ∈[1.0,2.5]</m:t>
        </m:r>
      </m:oMath>
      <w:r>
        <w:rPr>
          <w:sz w:val="24"/>
          <w:szCs w:val="24"/>
          <w:lang w:val="en-IN"/>
        </w:rPr>
        <w:t xml:space="preserve">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 xml:space="preserve">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m:t>interp</m:t>
        </m:r>
        <m:r>
          <w:rPr>
            <w:rFonts w:ascii="Cambria Math" w:hAnsi="Cambria Math"/>
            <w:sz w:val="24"/>
            <w:szCs w:val="24"/>
            <w:lang w:val="en-IN"/>
          </w:rPr>
          <m:t>⁡</m:t>
        </m:r>
      </m:oMath>
      <m:oMath>
        <m:r>
          <w:rPr>
            <w:rFonts w:ascii="Cambria Math" w:hAnsi="Cambria Math"/>
            <w:sz w:val="24"/>
            <w:szCs w:val="24"/>
            <w:lang w:val="en-IN"/>
          </w:rPr>
          <m:t>t≈28</m:t>
        </m:r>
      </m:oMath>
      <m:oMath>
        <m:r>
          <w:rPr>
            <w:rFonts w:ascii="Cambria Math" w:hAnsi="Cambria Math"/>
            <w:sz w:val="24"/>
            <w:szCs w:val="24"/>
            <w:lang w:val="en-IN"/>
          </w:rPr>
          <m:t>t≈22</m:t>
        </m:r>
      </m:oMath>
      <m:oMath>
        <m:r>
          <w:rPr>
            <w:rFonts w:ascii="Cambria Math" w:hAnsi="Cambria Math"/>
            <w:sz w:val="24"/>
            <w:szCs w:val="24"/>
            <w:lang w:val="en-IN"/>
          </w:rPr>
          <m:t>α=1.3</m:t>
        </m:r>
      </m:oMath>
      <m:oMath>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 xml:space="preserve">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4B100C0F" w14:textId="77777777" w:rsidR="009E5459" w:rsidRDefault="009E5459" w:rsidP="009E5459">
      <w:pPr>
        <w:spacing w:after="120"/>
      </w:pPr>
      <w:r>
        <w:rPr>
          <w:rFonts w:eastAsia="Times New Roman"/>
          <w:b/>
          <w:bCs/>
          <w:sz w:val="24"/>
          <w:szCs w:val="24"/>
        </w:rPr>
        <w:t xml:space="preserve">4.6 continues below.</w:t>
      </w:r>
    </w:p>
    <w:p w14:paraId="41AB67CD" w14:textId="77777777" w:rsidR="009E5459" w:rsidRPr="009E5459" w:rsidRDefault="009E5459" w:rsidP="009E5459">
      <w:pPr>
        <w:spacing w:before="200" w:after="80"/>
        <w:rPr>
          <w:sz w:val="24"/>
          <w:szCs w:val="24"/>
        </w:rPr>
      </w:pPr>
      <w:r>
        <w:rPr>
          <w:rFonts w:eastAsia="Times New Roman"/>
          <w:b/>
          <w:bCs/>
          <w:sz w:val="24"/>
          <w:szCs w:val="24"/>
        </w:rPr>
        <w:t xml:space="preserve">4.6.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w:t>
        <w:lastRenderedPageBreak/>
        <w:t>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xml:space="preserve">,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Smooth Time-to-Accident (STTA): </w:t>
      </w:r>
      <w:r>
        <w:rPr>
          <w:rFonts w:eastAsia="Times New Roman"/>
          <w:sz w:val="24"/>
          <w:szCs w:val="24"/>
        </w:rPr>
        <w:t xml:space="preserve">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lastRenderedPageBreak/>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Kinematic Motion Estimation (Frame-Differencing Optical Flow Proxy): Computationally lightweight frame-differencing in the grayscale latent space was adopted as a surrogate for dense optical flow (RAFT), capturing sudden dynamic shifts — hard braking, lateral swerving, vehicle spin — indicative of an imminent crash. The substitution was made for compute reasons and its cost in sensitivity was never measured; the figure of 90% of RAFT at 1% of the cost, asserted in an earlier version of this work, is withdrawn.</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 xml:space="preserve">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 xml:space="preserve">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 xml:space="preserve">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 xml:space="preserve">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The video-blind control family</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Probes that isolate the terms of the metric</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RESULTS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5.1. A video-blind constant on the official leaderboard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Table 6 reproduces the final private leaderboard as published. Table 7 gives the video-blind controls, submitted after the closing date and scored by the same service against the same private split. They are not leaderboard entries and are reported separately.</w:t>
      </w: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 xml:space="preserve">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 xml:space="preserve">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 xml:space="preserve">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2.50165</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2.46234</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2.42361</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2.41555</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2.39725</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2.39027</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2.36844</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2.35291</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2.00585</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1.46008</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1.35992</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1.04203</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1.03913</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0.58333</w:t>
            </w:r>
          </w:p>
        </w:tc>
      </w:tr>
    </w:tbl>
    <w:p w14:paraId="71092A74" w14:textId="77777777" w:rsidR="009E5459" w:rsidRPr="009E5459" w:rsidRDefault="009E5459" w:rsidP="009E5459">
      <w:pPr>
        <w:spacing w:before="40" w:after="10"/>
        <w:jc w:val="center"/>
        <w:rPr>
          <w:sz w:val="24"/>
          <w:szCs w:val="24"/>
        </w:rPr>
      </w:pPr>
      <w:r>
        <w:rPr>
          <w:rFonts w:eastAsia="Times New Roman"/>
          <w:b/>
          <w:bCs/>
          <w:sz w:val="24"/>
          <w:szCs w:val="24"/>
        </w:rPr>
        <w:t xml:space="preserve">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 xml:space="preserve">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 xml:space="preserve">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 xml:space="preserve">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2.35291</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2.35291</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1.06725</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1.04203</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0.35105</w:t>
            </w:r>
          </w:p>
        </w:tc>
      </w:tr>
    </w:tbl>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0.58333, so those two are not the same file, and the sample submission is not the origin of the published benchmark score.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5.2. Decomposing the score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 xml:space="preserve">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 xml:space="preserve">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 xml:space="preserve">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 xml:space="preserve">What it isolates</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the AP + AUC floor alone; both timing terms are zero</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floor + TTA; the drop destroys STTA</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STTA reference point pushed back</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floor + TTA + STTA</w:t>
            </w:r>
          </w:p>
        </w:tc>
      </w:tr>
    </w:tbl>
    <w:p w14:paraId="71092A74"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 xml:space="preserve">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 xml:space="preserve">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 xml:space="preserve">Relative to the floor</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1.00×</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2.49×</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3.21×</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5.70×</w:t>
            </w:r>
          </w:p>
        </w:tc>
      </w:tr>
    </w:tbl>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5.3. The score is linear in the frame at which the alarm fires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Frame indices are zero-based and the threshold comparison is strict; both conventions were determined empirically from the submitted files rather than assumed, because one frame is worth 0.0166 of score and an off-by-one would exceed every residual below.</w:t>
      </w: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 xml:space="preserve">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 xml:space="preserve">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 xml:space="preserve">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 xml:space="preserve">Residual against the fitted line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fitted</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fitted</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fitted</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fitted</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fitted</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fitted</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beyond the linear region</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equals the floor</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+0.00006</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−0.00017</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−0.00641</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outside the fitted region</w:t>
            </w:r>
          </w:p>
        </w:tc>
      </w:tr>
    </w:tbl>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5.4. What the published metric definition does not explain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 xml:space="preserve">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 xml:space="preserve">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 xml:space="preserve">Against the step reference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+0.02519</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reference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−0.03720</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−0.06574</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 xml:space="preserve">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 xml:space="preserve">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 xml:space="preserve">−0.01666 = 1/60.0</w:t>
            </w:r>
          </w:p>
        </w:tc>
      </w:tr>
    </w:tbl>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5.5. A property of the withheld ground truth, recovered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explains mechanically why the constant does so well on this corpus. Because the accident is always late in the window, an alarm at frame 0 is credited with roughly 120 frames of anticipation on every clip.</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5.6. The locally computable proxy, and what it was worth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follows is the evaluation we conducted before any submission was scored, and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Every number in the remainder of Section 5 is a statistic of curve shape. None is an anticipation result, none was validated against a label, and the quantity they optimise is minimised absolutely, to frame 0, by the constant of Section 5.1. Read together with Table 7, the tables below record a system being tuned toward a target that a nine-character submission attains perfectly. We report them in that spirit: not as evidence that the system works, but as evidence of what a locally computable proxy does to a research programme when the benchmark withholds the means of checking it.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specific cautions apply to the tables that follow. Timing figures in seconds were computed as the interval from the crossover frame to the END OF THE CLIP, not to an annotated collision, because this corpus annotates no collision; they are therefore inflated by the interval between the accident and the end of the window, which Section 5.5 measures at about one second on average. And the stable-anticipation compliance rate reported below is a consequence of the monotone clamp of Section 4, which makes falling below the threshold impossible after the first crossing; it measures that the clamp executed.</w:t>
      </w:r>
    </w:p>
    <w:p w14:paraId="56B68307" w14:textId="77777777" w:rsidR="009E5459" w:rsidRPr="009E5459" w:rsidRDefault="009E5459" w:rsidP="009E5459">
      <w:pPr>
        <w:spacing w:before="160" w:after="60"/>
        <w:rPr>
          <w:sz w:val="24"/>
          <w:szCs w:val="24"/>
        </w:rPr>
      </w:pPr>
      <w:r>
        <w:rPr>
          <w:rFonts w:eastAsia="Times New Roman"/>
          <w:b/>
          <w:bCs/>
          <w:i/>
          <w:iCs/>
          <w:sz w:val="24"/>
          <w:szCs w:val="24"/>
        </w:rPr>
        <w:t xml:space="preserve">5.6.1. Overall curve-shape statistics (pre-leaderboard)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Across the full corpus of 1,417 clips the ensemble produced a mean crossover frame of 22.7. We reported this at the time as predictive capability; it is not. The crossover frame is the earliest frame at which the predicted risk exceeds 0.5, and it is a property of the curve the system emits, measurable without any reference to whether an accident occurs or when. Section 5.1 gives the same statistic for a submission that reads no pixels: crossover frame 0. The primary performance indicator in accident anticipation systems is the crossover frame (tᴄ) across the full evaluation corpus of 1,417 clips. The primary performance indicator in accident anticipation systems is the crossover frame (tᴄ)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We also reported an early-frame false alarm rate, which was a mistake: a false alarm is an alarm on a clip containing no accident, and this corpus does not say which clips those are, so no false-alarm rate is computable from it by an entrant. What was actually observed is that initial-frame risk scores initialised below 0.05 on every clip — a statement about where the curve starts, not about whether starting there was correct. The original claim read: the early-frame false alarm rate — a historically persistent failure mode in zero-shot VLM deployments — was effectively neutralised by the power-curve scaling and Gaussian smoothing stages of the post-processing pipeline. Initial frame risk scores (t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t xml:space="preserve">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 xml:space="preserve">5.6.2. The best-fifty subset (a statement about the selection)</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following analysis selects the fifty clips with the earliest crossover frames and reports statistics over them. This is a statement about the selection and not about the method: choosing the best fifty of 1,417 by the quantity being reported guarantees the reported quantity looks good, and the same procedure applied to any system, including a random one, would produce a flattering subset. We retain it because it is part of the record. It was originally presented as establishing a performance ceiling, and it does not. We isolated and subjected to detailed analysis the top 50 best-performing predictions — those clips in which the framework identified danger with the greatest lead time. This subset is defined by the lowest observed crossover frames, constrained by the requirement that all initial risk vectors satisfy p(1) ≤ 0.05,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xml:space="preserve">.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Initial risk suppression: every one of the fifty began with an initial risk score in [0.001, 0.05]. This shows that the early crossings are not produced by a globally elevated baseline, which is a real and useful property of the curve. It does not show that the crossings track pre-crash cues, because nothing here is compared against a label; the earlier claim that it demonstrates genuine multi-modal recognition does not follow from this measurement.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 xml:space="preserve">Maximum risk scores at the collision terminus ranged between 0.963 and 0.999, confirming that the ensemble does not suffer from confidence </w:t>
        <w:lastRenderedPageBreak/>
        <w:t>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 xml:space="preserve">5.6.3. Modality ablation, measured on the crossover proxy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modality ablation below compares single-modality configurations against the full ensemble on the same crossover-frame proxy. The orderings it produces are informative about how the three signals behave and about their failure modes, and we retain the analysis for that reason. It does not establish superiority in anticipation, because the quantity being compared is minimised by a constant.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 xml:space="preserve">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 xml:space="preserve">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w:t>
        <w:lastRenderedPageBreak/>
        <w:t xml:space="preserve">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t xml:space="preserve">5.6.4. The best twenty-five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following selects the twenty-five clips with the earliest crossings, subject to an initial-risk constraint. The caveat of Section 5.6.2 applies with more force at this sample size: a best-of-1,417 subset bounds nothing. It was originally presented as bounding the maximum efficacy of the framework, and it does not. We isolated the top 25 highest-performing predictive sequences — those clips exhibiting the lowest observed crossover frames while strictly satisfying the initial risk suppression constraint (p(1) ≤ 0.001).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 xml:space="preserve">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 xml:space="preserve">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lastRenderedPageBreak/>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 xml:space="preserve">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 xml:space="preserve">5.6.4.1. Aggregate statistics of the best twenty-five</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We originally drew a road-safety conclusion from this figure, comparing it against human reaction times and automatic emergency braking latency. That comparison cannot be made from these numbers, for two reasons. The interval reported is measured from the crossover frame to the end of the clip, not to a collision, because this corpus annotates no collision; Section 5.5 estimates that the accident falls about a second before the window ends, so the figure is inflated by roughly that much. And it is computed over a best-of-1,417 subset. The paragraph is retained as written because it is the clearest single example of what the proxy encouraged, and it should be read as such rather than as a claim. It read: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3.17 to 4.17 second surplus reaction window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 xml:space="preserve">5.6.4.2. Modality behaviour in the best twenty-five</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properties hold across all twenty-five sequences. They are descriptions of the curves in a selected subset, not validation of the architecture:</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Low initial risk despite early crossing: every sequence began at p(1) = 0.001 despite crossing as early as frame 7. The heading under which this appeared, false-positive eradication, was wrong — a false-positive rate is not computable here — but the underlying observation stands and is worth keeping: a naive CLIP-only deployment would assign moderate risk scores (0.38–0.42) to early frames merely due to the semantic presence of large vehicles or high-density traffic, triggering spurious alerts 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saturation, largely by construction: mean peak risk across the twenty-five reaches 0.9871 (range 0.9629–0.9986). Note that the score cannot fall below the threshold after the first crossing, because Stage 4 forbids it, so the absence of degradation late in the clip is mostly a property of the clamp rather than of the NLP prior. The strict monotone clamping — contextually guided by the NLP prior's structural risk trajectory — ensures that risk confidence does not degrade when the visual 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These twenty-five cases were originally offered as proof that a zero-shot ensemble can rival supervised models. They are not: they are a selected subset scored on a proxy, with no supervised model evaluated alongside them and no label against which either could be checked. The leaderboard, which does compare against other entrants under a common scorer, placed this system ninth of thirteen and below a constant. The result validates the core thesis of this work: that 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 xml:space="preserve">5.6.5. Seven-configuration comparison, on the same proxy</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 xml:space="preserve">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 xml:space="preserve">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lastRenderedPageBreak/>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ordering from C1 to C7 shows that each stage moves the crossover frame earlier. Read against Section 5.1 that is what it says and no more, because moving the crossover frame earlier is exactly what a constant 0.51 does perfectly. Two of the stages deserve particular note in this light: the monotone clamp forces the condition the stable-timing metric tests, and the temporal compression that produces the final improvement reads a frame that has not yet arrived (Section 4). The original text read: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 xml:space="preserve">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ANALYSIS: WHY THE COMPOSITION FAILS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evaluated at a fixed operating point of the discrimination metric, or penalised by the false-alarm rate — is not maximised by a constant.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mechanisms compound this, and both are visible in our own pipeline rather than in anyone else's.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third, milder mechanism is selection: reporting the mean anticipation time of the best fifty clips out of 1,417 is a statement about the selection rather than about the method. Section 5.6 does this, and says so.</w:t>
      </w: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A CORRECTED PROTOCOL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Each item below is traced to a mechanism in Section 6. The first is the one we would keep if we could keep only one.</w:t>
      </w:r>
    </w:p>
    <w:p w14:paraId="2E44C7F9" w14:textId="1CBAF2E2" w:rsidR="00F2093A" w:rsidRDefault="0004505A" w:rsidP="00D476E0">
      <w:pPr>
        <w:pStyle w:val="ListParagraph"/>
        <w:numPr>
          <w:ilvl w:val="0"/>
          <w:numId w:val="3"/>
        </w:numPr>
        <w:jc w:val="both"/>
        <w:rPr>
          <w:sz w:val="24"/>
          <w:szCs w:val="24"/>
        </w:rPr>
      </w:pPr>
      <w:r>
        <w:rPr>
          <w:sz w:val="24"/>
          <w:szCs w:val="24"/>
        </w:rPr>
        <w:t xml:space="preserve">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2E44C7F9" w14:textId="1CBAF2E2" w:rsidR="00F2093A" w:rsidRDefault="0004505A" w:rsidP="00D476E0">
      <w:pPr>
        <w:pStyle w:val="ListParagraph"/>
        <w:numPr>
          <w:ilvl w:val="0"/>
          <w:numId w:val="3"/>
        </w:numPr>
        <w:jc w:val="both"/>
        <w:rPr>
          <w:sz w:val="24"/>
          <w:szCs w:val="24"/>
        </w:rPr>
      </w:pPr>
      <w:r>
        <w:rPr>
          <w:sz w:val="24"/>
          <w:szCs w:val="24"/>
        </w:rPr>
        <w:t xml:space="preserve">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2E44C7F9" w14:textId="1CBAF2E2" w:rsidR="00F2093A" w:rsidRDefault="0004505A" w:rsidP="00D476E0">
      <w:pPr>
        <w:pStyle w:val="ListParagraph"/>
        <w:numPr>
          <w:ilvl w:val="0"/>
          <w:numId w:val="3"/>
        </w:numPr>
        <w:jc w:val="both"/>
        <w:rPr>
          <w:sz w:val="24"/>
          <w:szCs w:val="24"/>
        </w:rPr>
      </w:pPr>
      <w:r>
        <w:rPr>
          <w:sz w:val="24"/>
          <w:szCs w:val="24"/>
        </w:rPr>
        <w:t xml:space="preserve">Report discrimination alongside any timing metric, never timing alone, and state the ratio of positive to negative clips. Without negatives there is no false-positive rate, and any rising curve achieves perfect recall.</w:t>
      </w:r>
    </w:p>
    <w:p w14:paraId="2E44C7F9" w14:textId="1CBAF2E2" w:rsidR="00F2093A" w:rsidRDefault="0004505A" w:rsidP="00D476E0">
      <w:pPr>
        <w:pStyle w:val="ListParagraph"/>
        <w:numPr>
          <w:ilvl w:val="0"/>
          <w:numId w:val="3"/>
        </w:numPr>
        <w:jc w:val="both"/>
        <w:rPr>
          <w:sz w:val="24"/>
          <w:szCs w:val="24"/>
        </w:rPr>
      </w:pPr>
      <w:r>
        <w:rPr>
          <w:sz w:val="24"/>
          <w:szCs w:val="24"/>
        </w:rPr>
        <w:t xml:space="preserve">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2E44C7F9" w14:textId="1CBAF2E2" w:rsidR="00F2093A" w:rsidRDefault="0004505A" w:rsidP="00D476E0">
      <w:pPr>
        <w:pStyle w:val="ListParagraph"/>
        <w:numPr>
          <w:ilvl w:val="0"/>
          <w:numId w:val="3"/>
        </w:numPr>
        <w:jc w:val="both"/>
        <w:rPr>
          <w:sz w:val="24"/>
          <w:szCs w:val="24"/>
        </w:rPr>
      </w:pPr>
      <w:r>
        <w:rPr>
          <w:sz w:val="24"/>
          <w:szCs w:val="24"/>
        </w:rPr>
        <w:t xml:space="preserve">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LIMITATIONS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DAD [4] and CCD [5] are the obvious candidates, and we state that as future work rather than claim it here.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control is a sufficient, not a necessary, condition. A metric on which a video-blind control scores poorly is not thereby sound. Our control detects this particular failure mode and we claim nothing beyond it.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caption leakage is identified and unquantified. Section 3.3 notes that the supplied captions describe outcomes and are available at inference time; we did not probe how much a method conditioned on them could gain.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CONCLUSION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metric that adds an unbounded earliness term to bounded discrimination terms does not measure what its name suggests. On a live accident-anticipation benchmark we measured the magnitude: the earliness terms are worth 5.70 times what the discrimination terms contribute to a submission that reads nothing, they are maximised exactly by a constant, and that constant scores within 0.14874 of the winning entry while matching the eighth-placed team at the precision the leaderboard displays.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Using twenty-four video-blind submissions as probes we recovered most of the metric's functional form from outside the competition. The score falls at exactly one sixtieth of a point per frame of delay, confirmed by a one-frame experiment and predicting held-out step-like curves to within 6.4 × 10⁻³. The same probes recovered the support and mean of the withheld accident-onset distribution, and established a second result we did not set out to find: three curves crossing the threshold at the same frame score 0.091 apart, a spread the published formula cannot produce. The benchmark's stated definition does not reproduce its own scorer.</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remedy is cheap. Bound the earliness term and condition it on a fixed operating point of the discrimination metric, so that a method must classify before its timing is counted. And run the control: a constant costs one submission and settles in an afternoon a question that otherwise propagates through a literature.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report our own entry, a training-free ensemble of vision–language similarity, a motion signal and a text-anchored prior, as the case study. It placed ninth of thirteen and it scores below the constant. We had selected its sentence encoder by minimising the crossover frame — the only quantity this benchmark lets an entrant compute, and the quantity a constant drives to zero. That is what a withheld label set does to a research programme, and it is the reason this paper reports a metric rather than a method.</w:t>
      </w:r>
    </w:p>
    <w:p w14:paraId="780D7AF9" w14:textId="77777777" w:rsidR="009E5459" w:rsidRPr="009E5459" w:rsidRDefault="009E5459" w:rsidP="009E5459">
      <w:pPr>
        <w:spacing w:after="60"/>
        <w:rPr>
          <w:sz w:val="24"/>
          <w:szCs w:val="24"/>
        </w:rPr>
      </w:pP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MATERIAL PARKED — the Future Scope section below is superseded by Section 8, Limitations, and is not for submission in this position. Three of its subsections describe work that remains worth doing: cross-dataset validation on a labelled corpus, edge deployment, and the driver-behaviour and regulatory discussion. Fold those into a short future-work paragraph at the end of Section 9. Note that 7.1 states the ensemble weights were grid-searched on the evaluation corpus, which contradicts the zero-shot claim and must be resolved before submission.</w:t>
      </w:r>
    </w:p>
    <w:p w14:paraId="3833A236" w14:textId="77777777" w:rsidR="009E5459" w:rsidRPr="009E5459" w:rsidRDefault="009E5459" w:rsidP="009E5459">
      <w:pPr>
        <w:spacing w:before="220" w:after="80"/>
        <w:rPr>
          <w:sz w:val="24"/>
          <w:szCs w:val="24"/>
        </w:rPr>
      </w:pPr>
      <w:r>
        <w:rPr>
          <w:rFonts w:eastAsia="Times New Roman"/>
          <w:b/>
          <w:bCs/>
          <w:sz w:val="24"/>
          <w:szCs w:val="24"/>
        </w:rPr>
        <w:t>7. Future Scope</w:t>
      </w:r>
    </w:p>
    <w:p w14:paraId="2FE2BFEB" w14:textId="77777777" w:rsidR="009E5459" w:rsidRPr="009E5459" w:rsidRDefault="009E5459" w:rsidP="009E5459">
      <w:pPr>
        <w:spacing w:before="60" w:after="100" w:line="276" w:lineRule="auto"/>
        <w:jc w:val="both"/>
        <w:rPr>
          <w:sz w:val="24"/>
          <w:szCs w:val="24"/>
        </w:rPr>
      </w:pPr>
      <w:r>
        <w:rPr>
          <w:rFonts w:eastAsia="Times New Roman"/>
          <w:sz w:val="24"/>
          <w:szCs w:val="24"/>
        </w:rPr>
        <w:t>While the results presented in this work establish a compelling proof-of-concept for zero-shot multimodal accident anticipation, several directions for methodological extension and practical deployment advancement are identified:</w:t>
      </w:r>
    </w:p>
    <w:p w14:paraId="28E96D18" w14:textId="77777777" w:rsidR="009E5459" w:rsidRPr="009E5459" w:rsidRDefault="009E5459" w:rsidP="009E5459">
      <w:pPr>
        <w:spacing w:before="160" w:after="60"/>
        <w:rPr>
          <w:sz w:val="24"/>
          <w:szCs w:val="24"/>
        </w:rPr>
      </w:pPr>
      <w:r>
        <w:rPr>
          <w:rFonts w:eastAsia="Times New Roman"/>
          <w:b/>
          <w:bCs/>
          <w:i/>
          <w:iCs/>
          <w:sz w:val="24"/>
          <w:szCs w:val="24"/>
        </w:rPr>
        <w:t>7.1. Adaptive Ensemble Weight Learning</w:t>
      </w:r>
    </w:p>
    <w:p w14:paraId="1E0AF99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fusion weights in the current framework (α = 0.55, β = 0.25, γ = 0.20) were empirically determined through grid search on the full evaluation corpus. A natural extension is the development of a </w:t>
      </w:r>
      <w:r>
        <w:rPr>
          <w:rFonts w:eastAsia="Times New Roman"/>
          <w:i/>
          <w:iCs/>
          <w:sz w:val="24"/>
          <w:szCs w:val="24"/>
        </w:rPr>
        <w:t>dynamic, context-aware weight adaptation mechanism</w:t>
      </w:r>
      <w:r>
        <w:rPr>
          <w:rFonts w:eastAsia="Times New Roman"/>
          <w:sz w:val="24"/>
          <w:szCs w:val="24"/>
        </w:rPr>
        <w:t xml:space="preserve"> that adjusts modality contributions in real time based on environmental conditions — for instance, elevating the optical flow weight during adverse weather (when visual semantics degrade) or up-weighting the NLP prior in semantically complex urban intersections (where kinematic signals are ambiguous). Such adaptive fusion could be implemented through a lightweight meta-learner trained on a small set of environment-labelled examples, or through attention mechanisms operating over modality-specific confidence estimates, preserving the zero-shot character of the core pipeline.</w:t>
      </w:r>
    </w:p>
    <w:p w14:paraId="26155DA9" w14:textId="77777777" w:rsidR="009E5459" w:rsidRPr="009E5459" w:rsidRDefault="009E5459" w:rsidP="009E5459">
      <w:pPr>
        <w:spacing w:before="160" w:after="60"/>
        <w:rPr>
          <w:sz w:val="24"/>
          <w:szCs w:val="24"/>
        </w:rPr>
      </w:pPr>
      <w:r>
        <w:rPr>
          <w:rFonts w:eastAsia="Times New Roman"/>
          <w:b/>
          <w:bCs/>
          <w:i/>
          <w:iCs/>
          <w:sz w:val="24"/>
          <w:szCs w:val="24"/>
        </w:rPr>
        <w:t>7.2. Integration of Audio and V2X Communication Modalities</w:t>
      </w:r>
    </w:p>
    <w:p w14:paraId="1CB6ED6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framework operates exclusively on visual modalities derived from the dashcam video stream. Contemporary dashcam systems increasingly capture </w:t>
      </w:r>
      <w:r>
        <w:rPr>
          <w:rFonts w:eastAsia="Times New Roman"/>
          <w:i/>
          <w:iCs/>
          <w:sz w:val="24"/>
          <w:szCs w:val="24"/>
        </w:rPr>
        <w:t xml:space="preserve">synchronised audio streams</w:t>
      </w:r>
      <w:r>
        <w:rPr>
          <w:rFonts w:eastAsia="Times New Roman"/>
          <w:sz w:val="24"/>
          <w:szCs w:val="24"/>
        </w:rPr>
        <w:t xml:space="preserve"> — which encode horn activations, tyre screeching, and sudden deceleration sounds — that carry independent and early precursor signals for imminent collision events. Furthermore, the proliferation of Vehicle-to-Everything (V2X) communication infrastructure in smart city deployments provides access to </w:t>
      </w:r>
      <w:r>
        <w:rPr>
          <w:rFonts w:eastAsia="Times New Roman"/>
          <w:i/>
          <w:iCs/>
          <w:sz w:val="24"/>
          <w:szCs w:val="24"/>
        </w:rPr>
        <w:t>inter-vehicle kinematic state broadcasts</w:t>
      </w:r>
      <w:r>
        <w:rPr>
          <w:rFonts w:eastAsia="Times New Roman"/>
          <w:sz w:val="24"/>
          <w:szCs w:val="24"/>
        </w:rPr>
        <w:t xml:space="preserve"> (position, velocity, heading) that extend the anticipation horizon beyond the visual field of view. Future work will investigate the integration of audio-based risk scoring — using pre-trained audio event classifiers such as AudioCLIP — and V2X data streams as additional ensemble modalities, with the goal of further reducing the mean crossover frame below 20.</w:t>
      </w:r>
    </w:p>
    <w:p w14:paraId="30BDFCBB" w14:textId="77777777" w:rsidR="009E5459" w:rsidRPr="009E5459" w:rsidRDefault="009E5459" w:rsidP="009E5459">
      <w:pPr>
        <w:spacing w:before="160" w:after="60"/>
        <w:rPr>
          <w:sz w:val="24"/>
          <w:szCs w:val="24"/>
        </w:rPr>
      </w:pPr>
      <w:r>
        <w:rPr>
          <w:rFonts w:eastAsia="Times New Roman"/>
          <w:b/>
          <w:bCs/>
          <w:i/>
          <w:iCs/>
          <w:sz w:val="24"/>
          <w:szCs w:val="24"/>
        </w:rPr>
        <w:t>7.3. Temporal Attention and Transformer-Based Score Refinement</w:t>
      </w:r>
    </w:p>
    <w:p w14:paraId="03955EE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score computation in PreCrash treats each temporal window independently, aggregating frame-level scores through post-processing rather than explicitly modelling long-range temporal dependencies across the full 150-frame sequence. Incorporating a </w:t>
      </w:r>
      <w:r>
        <w:rPr>
          <w:rFonts w:eastAsia="Times New Roman"/>
          <w:i/>
          <w:iCs/>
          <w:sz w:val="24"/>
          <w:szCs w:val="24"/>
        </w:rPr>
        <w:t>lightweight temporal transformer</w:t>
      </w:r>
      <w:r>
        <w:rPr>
          <w:rFonts w:eastAsia="Times New Roman"/>
          <w:sz w:val="24"/>
          <w:szCs w:val="24"/>
        </w:rPr>
        <w:t xml:space="preserve"> as a score refinement layer — operating on the sequence of raw ensemble scores rather than on raw visual features — would enable the framework to explicitly reason about risk trajectory shape, acceleration, and inflection points without imposing the computational burden of full end-to-end video transformer inference. This refinement layer </w:t>
        <w:lastRenderedPageBreak/>
        <w:t>could be trained on a small auxiliary set of labelled risk trajectories in a few-shot regime, extending the zero-shot framework toward a few-shot variant with minimal annotation cost.</w:t>
      </w:r>
    </w:p>
    <w:p w14:paraId="1465F2D9" w14:textId="77777777" w:rsidR="009E5459" w:rsidRPr="009E5459" w:rsidRDefault="009E5459" w:rsidP="009E5459">
      <w:pPr>
        <w:spacing w:before="160" w:after="60"/>
        <w:rPr>
          <w:sz w:val="24"/>
          <w:szCs w:val="24"/>
        </w:rPr>
      </w:pPr>
      <w:r>
        <w:rPr>
          <w:rFonts w:eastAsia="Times New Roman"/>
          <w:b/>
          <w:bCs/>
          <w:i/>
          <w:iCs/>
          <w:sz w:val="24"/>
          <w:szCs w:val="24"/>
        </w:rPr>
        <w:t xml:space="preserve">7.4. Cross-Dataset Generalisation and Geographic Diversity</w:t>
      </w:r>
    </w:p>
    <w:p w14:paraId="2622342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evaluation presented in this work was conducted on the MM-AU benchmark, which, while comprehensive in accident typology, reflects a particular geographic and infrastructural distribution. Future work will assess the framework's generalisation across geographically diverse dashcam datasets — including D2-City (Chinese urban environments), DADA-2000 (driver attention in driving accidents), and the A3D dataset — with the objective of validating the zero-shot claim across substantially different road geometries, driving cultures, traffic density patterns, and regulatory environments. Cross-dataset evaluation without any form of adaptation would constitute the most rigorous validation of the framework's generalisation claim and is a priority for future benchmarking work.</w:t>
      </w:r>
    </w:p>
    <w:p w14:paraId="09372398" w14:textId="77777777" w:rsidR="009E5459" w:rsidRPr="009E5459" w:rsidRDefault="009E5459" w:rsidP="009E5459">
      <w:pPr>
        <w:spacing w:before="160" w:after="60"/>
        <w:rPr>
          <w:sz w:val="24"/>
          <w:szCs w:val="24"/>
        </w:rPr>
      </w:pPr>
      <w:r>
        <w:rPr>
          <w:rFonts w:eastAsia="Times New Roman"/>
          <w:b/>
          <w:bCs/>
          <w:i/>
          <w:iCs/>
          <w:sz w:val="24"/>
          <w:szCs w:val="24"/>
        </w:rPr>
        <w:t>7.5. Edge Deployment and Real-Time Embedded Implementation</w:t>
      </w:r>
    </w:p>
    <w:p w14:paraId="235D41E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implementation executes on an NVIDIA T4 GPU in a cloud inference setting. Practical vehicular deployment requires execution on resource-constrained embedded platforms — including automotive-grade system-on-chip devices (e.g., NVIDIA Jetson Orin, Qualcomm Snapdragon Ride) — under strict latency, power, and thermal constraints. Future work will investigate </w:t>
      </w:r>
      <w:r>
        <w:rPr>
          <w:rFonts w:eastAsia="Times New Roman"/>
          <w:i/>
          <w:iCs/>
          <w:sz w:val="24"/>
          <w:szCs w:val="24"/>
        </w:rPr>
        <w:t xml:space="preserve">model quantisation, structured pruning, and knowledge distillation</w:t>
      </w:r>
      <w:r>
        <w:rPr>
          <w:rFonts w:eastAsia="Times New Roman"/>
          <w:sz w:val="24"/>
          <w:szCs w:val="24"/>
        </w:rPr>
        <w:t xml:space="preserve"> strategies for compressing the CLIP ViT-L/14 encoder and the frame-differencing pipeline to meet embedded deployment targets (target: ≤50 ms per frame end-to-end latency at 30 FPS). The modular, decoupled architecture of PreCrash is particularly amenable to selective component compression, as each modality engine can be independently quantised and validated without affecting the other engines or the fusion layer.</w:t>
      </w:r>
    </w:p>
    <w:p w14:paraId="4BB52F67" w14:textId="77777777" w:rsidR="009E5459" w:rsidRPr="009E5459" w:rsidRDefault="009E5459" w:rsidP="009E5459">
      <w:pPr>
        <w:spacing w:before="160" w:after="60"/>
        <w:rPr>
          <w:sz w:val="24"/>
          <w:szCs w:val="24"/>
        </w:rPr>
      </w:pPr>
      <w:r>
        <w:rPr>
          <w:rFonts w:eastAsia="Times New Roman"/>
          <w:b/>
          <w:bCs/>
          <w:i/>
          <w:iCs/>
          <w:sz w:val="24"/>
          <w:szCs w:val="24"/>
        </w:rPr>
        <w:t xml:space="preserve">7.6. Regulatory Integration and Driver Behaviour Studies</w:t>
      </w:r>
    </w:p>
    <w:p w14:paraId="6BEBEFDF" w14:textId="7573AF18" w:rsidR="009E5459" w:rsidRPr="009E5459" w:rsidRDefault="009E5459" w:rsidP="009E5459">
      <w:pPr>
        <w:spacing w:before="60" w:after="100" w:line="276" w:lineRule="auto"/>
        <w:jc w:val="both"/>
        <w:rPr>
          <w:sz w:val="24"/>
          <w:szCs w:val="24"/>
        </w:rPr>
      </w:pPr>
      <w:r>
        <w:rPr>
          <w:rFonts w:eastAsia="Times New Roman"/>
          <w:sz w:val="24"/>
          <w:szCs w:val="24"/>
        </w:rPr>
        <w:t xml:space="preserve">Beyond the technical dimension, the deployment of PreCrash in production vehicles raises important questions regarding human-machine interaction, driver trust calibration, and regulatory acceptance. Future work will investigate the </w:t>
      </w:r>
      <w:r>
        <w:rPr>
          <w:rFonts w:eastAsia="Times New Roman"/>
          <w:i/>
          <w:iCs/>
          <w:sz w:val="24"/>
          <w:szCs w:val="24"/>
        </w:rPr>
        <w:t>optimal alert modality and timing strategy</w:t>
      </w:r>
      <w:r>
        <w:rPr>
          <w:rFonts w:eastAsia="Times New Roman"/>
          <w:sz w:val="24"/>
          <w:szCs w:val="24"/>
        </w:rPr>
        <w:t xml:space="preserve"> for communicating 4+ second anticipation warnings to human drivers — a challenge distinct from near-collision braking, where driver override is neither expected nor desirable. Controlled driving simulation studies examining driver response latency, trust calibration, and alert fatigue as functions of warning lead-time and presentation modality will be conducted. Concurrently, engagement with emerging regulatory frameworks for AI transparency in safety-critical systems — including EU AI Act provisions for high-risk automotive applications — will guide the formalisation of interpretability requirements for the modality-level attribution mechanism.</w:t>
      </w:r>
    </w:p>
    <w:p w14:paraId="425CDF5D" w14:textId="3BD1AA01" w:rsidR="00E41ED6" w:rsidRPr="009E5459" w:rsidRDefault="009E5459" w:rsidP="009E5459">
      <w:pPr>
        <w:spacing w:before="60" w:after="100" w:line="276" w:lineRule="auto"/>
        <w:jc w:val="both"/>
        <w:rPr>
          <w:sz w:val="24"/>
          <w:szCs w:val="24"/>
        </w:rPr>
      </w:pPr>
      <w:r>
        <w:rPr>
          <w:rFonts w:eastAsia="Times New Roman"/>
          <w:sz w:val="24"/>
          <w:szCs w:val="24"/>
        </w:rPr>
        <w:t xml:space="preserve">In summary, PreCrash establishes that zero-shot, training-free accident anticipation is not merely a theoretical possibility but a practically achievable and measurably effective operational capability. The results call for a re-evaluation of the assumption that safety-critical visual understanding systems categorically require large, domain-specific labelled datasets — and position pre-trained Vision-Language Model ensembles as a viable, scalable foundation for the next generation of intelligent road safety system.</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 xml:space="preserve">World Health Organization, "Road traffic injuries," WHO Fact Sheet, Geneva, Switzerland, 13 Dec. 2023. [Online]. Available: https://www.who.int/news-room/fact-sheets/detail/road-traffic-injuries</w:t>
      </w:r>
    </w:p>
    <w:p w14:paraId="0DA8C04D" w14:textId="77777777" w:rsidR="00E41ED6" w:rsidRDefault="00E41ED6" w:rsidP="00E41ED6">
      <w:pPr>
        <w:pStyle w:val="References"/>
      </w:pPr>
      <w:r>
        <w:t xml:space="preserve">Zhang, Y., Zhou, W., Lin, R., Yang, X., &amp; Zheng, H. (2025). Deep learning advances in vision-based traffic accident anticipation: A comprehensive review of methods, datasets, and future directions. arXiv:2505.07611.</w:t>
      </w:r>
    </w:p>
    <w:p w14:paraId="0DA8C04D" w14:textId="77777777" w:rsidR="00E41ED6" w:rsidRDefault="00E41ED6" w:rsidP="00E41ED6">
      <w:pPr>
        <w:pStyle w:val="References"/>
      </w:pPr>
      <w:r>
        <w:t xml:space="preserve">Moura, D., Zhu, S., &amp; Zvitia, O. (2025). Nexar dashcam collision prediction dataset and challenge. In Proc. IEEE/CVF Conf. on Computer Vision and Pattern Recognition Workshops (CVPRW), pp. 2608–2616. arXiv:2503.03848.</w:t>
      </w:r>
    </w:p>
    <w:p w14:paraId="0DA8C04D" w14:textId="77777777" w:rsidR="00E41ED6" w:rsidRDefault="00E41ED6" w:rsidP="00E41ED6">
      <w:pPr>
        <w:pStyle w:val="References"/>
      </w:pPr>
      <w:r>
        <w:t xml:space="preserve">Chan, F.-H., Chen, Y.-T., Xiang, Y., &amp; Sun, M. (2016). Anticipating accidents in dashcam videos. In Computer Vision – ACCV 2016, Lecture Notes in Computer Science, vol. 10114, pp. 136–153. Springer.</w:t>
      </w:r>
    </w:p>
    <w:p w14:paraId="0DA8C04D" w14:textId="77777777" w:rsidR="00E41ED6" w:rsidRDefault="00E41ED6" w:rsidP="00E41ED6">
      <w:pPr>
        <w:pStyle w:val="References"/>
      </w:pPr>
      <w:r>
        <w:t xml:space="preserve">Bao, W., Yu, Q., &amp; Kong, Y. (2020). Uncertainty-based traffic accident anticipation with spatio-temporal relational learning. In Proc. 28th ACM Int. Conf. on Multimedia, pp. 2682–2690. doi:10.1145/3394171.3413827.</w:t>
      </w:r>
    </w:p>
    <w:p w14:paraId="0DA8C04D" w14:textId="77777777" w:rsidR="00E41ED6" w:rsidRDefault="00E41ED6" w:rsidP="00E41ED6">
      <w:pPr>
        <w:pStyle w:val="References"/>
      </w:pPr>
      <w:r>
        <w:t xml:space="preserve">Karim, M. M., Li, Y., Qin, R., &amp; Yin, Z. (2022). A dynamic spatial-temporal attention network for early anticipation of traffic accidents. IEEE Trans. Intelligent Transportation Systems, 23(7), 9590–9600. doi:10.1109/TITS.2022.3155613.</w:t>
      </w:r>
    </w:p>
    <w:p w14:paraId="0DA8C04D" w14:textId="77777777" w:rsidR="00E41ED6" w:rsidRDefault="00E41ED6" w:rsidP="00E41ED6">
      <w:pPr>
        <w:pStyle w:val="References"/>
      </w:pPr>
      <w:r>
        <w:t xml:space="preserve">Fang, J., Li, L.-L., Zhou, J., Xiao, J., Yu, H., Lv, C., Xue, J., &amp; Chua, T.-S. (2024). Abductive ego-view accident video understanding for safe driving perception. In Proc. IEEE/CVF Conf. on Computer Vision and Pattern Recognition (CVPR), pp. 22030–22040. arXiv:2403.00436.</w:t>
      </w:r>
    </w:p>
    <w:p w14:paraId="0DA8C04D" w14:textId="77777777" w:rsidR="00E41ED6" w:rsidRDefault="00E41ED6" w:rsidP="00E41ED6">
      <w:pPr>
        <w:pStyle w:val="References"/>
      </w:pPr>
      <w:r>
        <w:t xml:space="preserve">AUTOPILOT-COG (2026). Zero-shot Accident Anticipation. Kaggle. [Online]. Available: https://kaggle.com/competitions/zero-shot-taa</w:t>
      </w:r>
    </w:p>
    <w:p w14:paraId="0DA8C04D" w14:textId="77777777" w:rsidR="00E41ED6" w:rsidRDefault="00E41ED6" w:rsidP="00E41ED6">
      <w:pPr>
        <w:pStyle w:val="References"/>
      </w:pPr>
      <w:r>
        <w:t xml:space="preserve">Radford, A., Kim, J. W., Hallacy, C., Ramesh, A., Goh, G., Agarwal, S., Sastry, G., Askell, A., Mishkin, P., Clark, J., Krueger, G., &amp; Sutskever, I. (2021). Learning transferable visual models from natural language supervision. In Proc. 38th Int. Conf. on Machine Learning, PMLR 139, pp. 8748–8763.</w:t>
      </w:r>
    </w:p>
    <w:p w14:paraId="0DA8C04D" w14:textId="77777777" w:rsidR="00E41ED6" w:rsidRDefault="00E41ED6" w:rsidP="00E41ED6">
      <w:pPr>
        <w:pStyle w:val="References"/>
      </w:pPr>
      <w:r>
        <w:t xml:space="preserve">Teed, Z., &amp; Deng, J. (2020). RAFT: Recurrent all-pairs field transforms for optical flow. In Computer Vision – ECCV 2020, Lecture Notes in Computer Science, vol. 12347, pp. 402–419. Springer. doi:10.1007/978-3-030-58536-5_24.</w:t>
      </w:r>
    </w:p>
    <w:p w14:paraId="0DA8C04D" w14:textId="77777777" w:rsidR="00E41ED6" w:rsidRDefault="00E41ED6" w:rsidP="00E41ED6">
      <w:pPr>
        <w:pStyle w:val="References"/>
      </w:pPr>
      <w:r>
        <w:t xml:space="preserve">Liu, H., Li, C., Wu, Q., &amp; Lee, Y. J. (2023). Visual instruction tuning. In Advances in Neural Information Processing Systems, vol. 36. arXiv:2304.08485.</w:t>
      </w:r>
    </w:p>
    <w:p w14:paraId="0DA8C04D" w14:textId="77777777" w:rsidR="00E41ED6" w:rsidRDefault="00E41ED6" w:rsidP="00E41ED6">
      <w:pPr>
        <w:pStyle w:val="References"/>
      </w:pPr>
      <w:r>
        <w:t xml:space="preserve">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0DA8C04D" w14:textId="77777777" w:rsidR="00E41ED6" w:rsidRDefault="00E41ED6" w:rsidP="00E41ED6">
      <w:pPr>
        <w:pStyle w:val="References"/>
      </w:pPr>
      <w:r>
        <w:t xml:space="preserve">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DA8C04D" w14:textId="77777777" w:rsidR="00E41ED6" w:rsidRDefault="00E41ED6" w:rsidP="00E41ED6">
      <w:pPr>
        <w:pStyle w:val="References"/>
      </w:pPr>
      <w:r>
        <w:t xml:space="preserve">Zhang, J., Wang, C., Liao, H., Guan, Y., Li, Z., Xie, Y., &amp; Rao, B. (2025). Eyes on the road, mind beyond vision: Context-aware multi-modal enhanced risk anticipation. In Proc. 33rd ACM Int. Conf. on Multimedia. doi:10.1145/3746027.3755378. arXiv:2507.06444.</w:t>
      </w:r>
    </w:p>
    <w:p w14:paraId="0DA8C04D" w14:textId="77777777" w:rsidR="00E41ED6" w:rsidRDefault="00E41ED6" w:rsidP="00E41ED6">
      <w:pPr>
        <w:pStyle w:val="References"/>
      </w:pPr>
      <w:r>
        <w:t xml:space="preserve">Zhang, R., Wang, B., Zhang, J., Bian, Z., Feng, C., &amp; Ozbay, K. (2025). When language and vision meet road safety: Leveraging multimodal large language models for video-based traffic accident analysis. Accident Analysis &amp; Prevention, 219, 108077. doi:10.1016/j.aap.2025.108077.</w:t>
      </w:r>
    </w:p>
    <w:p w14:paraId="0DA8C04D" w14:textId="77777777" w:rsidR="00E41ED6" w:rsidRDefault="00E41ED6" w:rsidP="00E41ED6">
      <w:pPr>
        <w:pStyle w:val="References"/>
      </w:pPr>
      <w:r>
        <w:t xml:space="preserve">Kandacharam, S., Rajathilagam, B., &amp; Vasudevan, S. K. (2025). Fusion framework for accident anticipation and incident detection in dashcam videos. SN Computer Science, 6(5), Art. 548. doi:10.1007/s42979-025-04085-z.</w:t>
      </w:r>
    </w:p>
    <w:p w14:paraId="0DA8C04D" w14:textId="77777777" w:rsidR="00E41ED6" w:rsidRDefault="00E41ED6" w:rsidP="00E41ED6">
      <w:pPr>
        <w:pStyle w:val="References"/>
      </w:pPr>
      <w:r>
        <w:t xml:space="preserve">Liu, H., Hu, X., Jiang, Y., Wan, T., &amp; Ma, W. (2026). SCTNet: Structured and causality-guided spatiotemporal diffusion network for unsupervised traffic accident detection. Information Processing &amp; Management, 63(4), Art. 104598. doi:10.1016/j.ipm.2025.104598.</w:t>
      </w:r>
    </w:p>
    <w:p w14:paraId="0DA8C04D" w14:textId="77777777" w:rsidR="00E41ED6" w:rsidRDefault="00E41ED6" w:rsidP="00E41ED6">
      <w:pPr>
        <w:pStyle w:val="References"/>
      </w:pPr>
      <w:r>
        <w:t xml:space="preserve">Yao, Y., Xu, M., Wang, Y., Crandall, D. J., &amp; Atkins, E. M. (2019). Unsupervised traffic accident detection in first-person videos. In Proc. IEEE/RSJ Int. Conf. on Intelligent Robots and Systems (IROS), pp. 273–280.</w:t>
      </w:r>
    </w:p>
    <w:p w14:paraId="0DA8C04D" w14:textId="77777777" w:rsidR="00E41ED6" w:rsidRDefault="00E41ED6" w:rsidP="00E41ED6">
      <w:pPr>
        <w:pStyle w:val="References"/>
      </w:pPr>
      <w:r>
        <w:t xml:space="preserve">Zhong, Y., Yan, G., Zhu, R., Gan, P., &amp; Shen, X. (2025). Early traffic accident anticipation via feature consistency representation and soft label regression. ACM Trans. Multimedia Computing, Communications, and Applications, 21. doi:10.1145/3767737.</w:t>
      </w:r>
    </w:p>
    <w:p w14:paraId="0DA8C04D" w14:textId="77777777" w:rsidR="00E41ED6" w:rsidRDefault="00E41ED6" w:rsidP="00E41ED6">
      <w:pPr>
        <w:pStyle w:val="References"/>
      </w:pPr>
      <w:r>
        <w:t xml:space="preserve">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A8C04D" w14:textId="77777777" w:rsidR="00E41ED6" w:rsidRDefault="00E41ED6" w:rsidP="00E41ED6">
      <w:pPr>
        <w:pStyle w:val="References"/>
      </w:pPr>
      <w:r>
        <w:t xml:space="preserve">Zou, Y., Zhao, T., Xiao, P., Jin, H., Qi, L., Li, Y., Liang, L., Qian, Y., Lai, C., Lin, Y., Li, Z., &amp; Wu, Y. (2026). RiskProp: Collision-anchored self-supervised risk propagation for early accident anticipation. In Proc. IEEE/CVF Conf. on Computer Vision and Pattern Recognition (CVPR).</w:t>
      </w:r>
    </w:p>
    <w:p w14:paraId="0DA8C04D" w14:textId="77777777" w:rsidR="00E41ED6" w:rsidRDefault="00E41ED6" w:rsidP="00E41ED6">
      <w:pPr>
        <w:pStyle w:val="References"/>
      </w:pPr>
      <w:r>
        <w:t xml:space="preserve">Saha, D., Mannan, S. M. A., Rashid, M. R., Naswan, R., &amp; Tahmid, A. (2026). Zero-shot traffic accident detection via a coarse-to-fine VLM-tracking pipeline. arXiv:2608.08867.</w:t>
      </w:r>
    </w:p>
    <w:p w14:paraId="0DA8C04D" w14:textId="77777777" w:rsidR="00E41ED6" w:rsidRDefault="00E41ED6" w:rsidP="00E41ED6">
      <w:pPr>
        <w:pStyle w:val="References"/>
      </w:pPr>
      <w:r>
        <w:t xml:space="preserve">Singh, Pal, Biswas, &amp; Chandran (2026). Metadata-aware multi-prompt reasoning for zero-shot accident understanding. arXiv:2606.12047. [VERIFY FULL GIVEN NAMES BEFORE SUBMISSION]</w:t>
      </w:r>
    </w:p>
    <w:p w14:paraId="0DA8C04D" w14:textId="77777777" w:rsidR="00E41ED6" w:rsidRDefault="00E41ED6" w:rsidP="00E41ED6">
      <w:pPr>
        <w:pStyle w:val="References"/>
      </w:pPr>
      <w:r>
        <w:t xml:space="preserve">Thakur, A., &amp; Talele, S. (2026). A modular zero-shot pipeline for accident detection, localization, and classification in traffic surveillance video. arXiv:2604.09685.</w:t>
      </w:r>
    </w:p>
    <w:p w14:paraId="0DA8C04D" w14:textId="77777777" w:rsidR="00E41ED6" w:rsidRDefault="00E41ED6" w:rsidP="00E41ED6">
      <w:pPr>
        <w:pStyle w:val="References"/>
      </w:pPr>
      <w:r>
        <w:t xml:space="preserve">Torralba, A., &amp; Efros, A. A. (2011). Unbiased look at dataset bias. In Proc. IEEE Conf. on Computer Vision and Pattern Recognition (CVPR), pp. 1521–1528. doi:10.1109/CVPR.2011.5995347.</w:t>
      </w:r>
    </w:p>
    <w:p w14:paraId="0DA8C04D" w14:textId="77777777" w:rsidR="00E41ED6" w:rsidRDefault="00E41ED6" w:rsidP="00E41ED6">
      <w:pPr>
        <w:pStyle w:val="References"/>
      </w:pPr>
      <w:r>
        <w:t xml:space="preserve">Gururangan, S., Swayamdipta, S., Levy, O., Schwartz, R., Bowman, S. R., &amp; Smith, N. A. (2018). Annotation artifacts in natural language inference data. In Proc. NAACL-HLT 2018, vol. 2 (Short Papers), pp. 107–112. doi:10.18653/v1/N18-2017.</w:t>
      </w:r>
    </w:p>
    <w:p w14:paraId="0DA8C04D" w14:textId="77777777" w:rsidR="00E41ED6" w:rsidRDefault="00E41ED6" w:rsidP="00E41ED6">
      <w:pPr>
        <w:pStyle w:val="References"/>
      </w:pPr>
      <w:r>
        <w:t xml:space="preserve">Poliak, A., Naradowsky, J., Haldar, A., Rudinger, R., &amp; Van Durme, B. (2018). Hypothesis only baselines in natural language inference. In Proc. 7th Joint Conf. on Lexical and Computational Semantics (*SEM), pp. 180–191. doi:10.18653/v1/S18-2023.</w:t>
      </w:r>
    </w:p>
    <w:p w14:paraId="0DA8C04D" w14:textId="77777777" w:rsidR="00E41ED6" w:rsidRDefault="00E41ED6" w:rsidP="00E41ED6">
      <w:pPr>
        <w:pStyle w:val="References"/>
      </w:pPr>
      <w:r>
        <w:t xml:space="preserve">Ferrari Dacrema, M., Cremonesi, P., &amp; Jannach, D. (2019). Are we really making much progress? A worrying analysis of recent neural recommendation approaches. In Proc. 13th ACM Conf. on Recommender Systems (RecSys), pp. 101–109. doi:10.1145/3298689.3347058.</w:t>
      </w:r>
    </w:p>
    <w:p w14:paraId="0DA8C04D" w14:textId="77777777" w:rsidR="00E41ED6" w:rsidRDefault="00E41ED6" w:rsidP="00E41ED6">
      <w:pPr>
        <w:pStyle w:val="References"/>
      </w:pPr>
      <w:r>
        <w:t xml:space="preserve">Korkut, S., Bravo Sarmiento, M. A., Kim, S., &amp; Akata, Z. (2026). From accuracy to visual dependence: Auditing and filtering modality collapse in traffic VideoQA. In 1st Workshop on Combining Theory and Benchmarks (CTB@ICML 2026), Seoul. arXiv:2606.30220.</w:t>
      </w:r>
    </w:p>
    <w:p w14:paraId="0DA8C04D" w14:textId="77777777" w:rsidR="00E41ED6" w:rsidRDefault="00E41ED6" w:rsidP="00E41ED6">
      <w:pPr>
        <w:pStyle w:val="References"/>
      </w:pPr>
      <w:r>
        <w:t xml:space="preserve">Zhao, T., Zou, Y., Mao, Z., Xiao, P., Huang, Y., Yang, H., Li, Y., Li, Q., Wu, G., &amp; Lin, Y. (2025). Accident anticipation via temporal occurrence prediction. arXiv:2510.22260.</w:t>
      </w:r>
    </w:p>
    <w:p w14:paraId="0DA8C04D" w14:textId="77777777" w:rsidR="00E41ED6" w:rsidRDefault="00E41ED6" w:rsidP="00E41ED6">
      <w:pPr>
        <w:pStyle w:val="References"/>
      </w:pPr>
      <w:r>
        <w:t xml:space="preserve">Goldshmidt, R., Scott, H., Niccolini, L., Zhu, S., Moura, D., &amp; Zvitia, O. (2025). BADAS: Context-aware collision prediction using real-world dashcam data. arXiv:2510.14876.</w:t>
      </w:r>
    </w:p>
    <w:p w14:paraId="0DA8C04D" w14:textId="77777777" w:rsidR="00E41ED6" w:rsidRDefault="00E41ED6" w:rsidP="00E41ED6">
      <w:pPr>
        <w:pStyle w:val="References"/>
      </w:pPr>
      <w:r>
        <w:t xml:space="preserve">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p w14:paraId="0C35BC44"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MATERIAL MOVED FROM THE INTRODUCTION — to be reintegrated into Section 2, not for submission in this position. NOTE: the bracket numbers in these paragraphs refer to the OLD reference list and must be renumbered against the current one before any of this text is reused.</w:t>
      </w:r>
    </w:p>
    <w:p w14:paraId="0484380D" w14:textId="77777777" w:rsidR="005E78F1" w:rsidRDefault="00E1738F" w:rsidP="00E41ED6">
      <w:pPr>
        <w:jc w:val="both"/>
        <w:rPr>
          <w:sz w:val="24"/>
          <w:szCs w:val="24"/>
        </w:rPr>
      </w:pPr>
      <w:r>
        <w:rPr>
          <w:sz w:val="24"/>
          <w:szCs w:val="24"/>
        </w:rPr>
        <w:t xml:space="preserve">The problem of accident anticipation is different and harder than that of the accident detection because in accident detection we aim to identify the presence of obstacles in the form of car, pedestrian, traffic light etc. as well as the actions like someone waving and does the classification based on them [4]. However, in anticipation, the prediction is something that might happen in the future or may not so we expect the models to reason about the future. This reasoning is done based on the ambiguous, sporadic probabilistic projections. </w:t>
      </w:r>
    </w:p>
    <w:p w14:paraId="6E884947" w14:textId="64655FD3" w:rsidR="003D690E" w:rsidRDefault="00E41ED6" w:rsidP="00E41ED6">
      <w:pPr>
        <w:jc w:val="both"/>
        <w:rPr>
          <w:sz w:val="24"/>
          <w:szCs w:val="24"/>
        </w:rPr>
      </w:pPr>
      <w:r>
        <w:rPr>
          <w:sz w:val="24"/>
          <w:szCs w:val="24"/>
        </w:rPr>
        <w:t xml:space="preserve">One of the factors that helps in anticipation is the precursor state, a visual signal that can signal the danger. A driver driving at the highways observes a pattern that the car 50 meters away has suddenly drifted its lane position to 20 cm to the right and a sudden drop in speed is observed. The driver hasn’t applied a brake or an occurrence of accident is observed, however these deviations in lane and speed are a precursor signal indicating the driver’s drowsiness or uneasiness. Thus, in accident anticipation, the model needs to understand this uneasiness that aids in anticipating accidents. Thus, the precursor states can be identified with the deviation in </w:t>
        <w:lastRenderedPageBreak/>
        <w:t xml:space="preserve">vehicle track, clogging patterns and predicting the future intersection of two objects using current motion [5]. </w:t>
      </w:r>
    </w:p>
    <w:p w14:paraId="4AFAC46C" w14:textId="057A6CCC" w:rsidR="00FE7F16" w:rsidRDefault="0001530F" w:rsidP="00E41ED6">
      <w:pPr>
        <w:jc w:val="both"/>
        <w:rPr>
          <w:sz w:val="24"/>
          <w:szCs w:val="24"/>
        </w:rPr>
      </w:pPr>
      <w:r>
        <w:rPr>
          <w:sz w:val="24"/>
          <w:szCs w:val="24"/>
        </w:rPr>
        <w:t xml:space="preserve">Existing training-based models both supervised and unsupervised approaches aren’t suitable for accident anticipation because of the fact that they are biased based on the training data [6]. The problem of accident anticipation is viewed merely as a frame level problem without much vitality is given to the precursor states. The subtle differences between the normal scene and accident scene are so tiny that goes unnoticed many at times in supervised models as they are trained on features and thus, they can’t identify the marginal changes in terms of the position and velocity. So, they do not capture the dynamics and context of the scene and thus this method remains as a mere memorization of the dataset and does anticipation based on the memorization not on the danger perspective. This demands an approach that is more realistic than the training-based approaches that can generalize well and does the anticipation even under extreme weather conditions and unfamiliar road geometry.  </w:t>
      </w:r>
    </w:p>
    <w:p w14:paraId="18D1F513" w14:textId="70484CC4" w:rsidR="006B76FA" w:rsidRDefault="00151A7A" w:rsidP="00E41ED6">
      <w:pPr>
        <w:jc w:val="both"/>
        <w:rPr>
          <w:sz w:val="24"/>
          <w:szCs w:val="24"/>
        </w:rPr>
      </w:pPr>
      <w:r>
        <w:rPr>
          <w:sz w:val="24"/>
          <w:szCs w:val="24"/>
        </w:rPr>
        <w:t xml:space="preserve">Vision language Models (VLMs) acts as a suitable alternative to address all the challenges encountered by training-based approaches in terms of class imbalance, poor generalization, expensive labelling and spurious correlations [7]. The VLMs are ideal for accident anticipation as they can help identify the precursors effectively as they can map the visual cues in the video sequence to natural language reasoning. Thus, the conclusions drawn about the anticipation are purely based on the semantic understanding of the entire video frames [8]. However, the current VLMs if adopted individually as mentioned in [9] [10] suffers certain challenges in anticipation as the predictions introduce biases as per the architectural specifications and thus, they struggle for the identification of the semantic reasoning, robustness and generalization. Thus, relying on a single model is often fragile and ensembling seems to be a practical alternative to these concerns. Thus, this work aims to identify the models that can understand the dashcam scene effectively and understand the scene dynamics effectively and able to draw conclusions based on the domain knowledge. </w:t>
      </w: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TTA@0.5" TargetMode="External"/><Relationship Id="rId11" Type="http://schemas.openxmlformats.org/officeDocument/2006/relationships/hyperlink" Target="https://doi.org/10.1145/3767737" TargetMode="External"/><Relationship Id="rId5" Type="http://schemas.openxmlformats.org/officeDocument/2006/relationships/hyperlink" Target="https://orcid.org/0000-0001-8270-6223" TargetMode="External"/><Relationship Id="rId10" Type="http://schemas.openxmlformats.org/officeDocument/2006/relationships/hyperlink" Target="https://doi.org/10.1007/978-3-031-91767-7_5"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1858</TotalTime>
  <Pages>1</Pages>
  <Words>11957</Words>
  <Characters>68159</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25</cp:revision>
  <dcterms:created xsi:type="dcterms:W3CDTF">2026-04-12T01:46:00Z</dcterms:created>
  <dcterms:modified xsi:type="dcterms:W3CDTF">2026-08-31T09:29:00Z</dcterms:modified>
</cp:coreProperties>
</file>