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4 Final Documentation</w:t>
      </w:r>
    </w:p>
    <w:p>
      <w:pPr>
        <w:spacing w:line="240" w:lineRule="auto" w:after="120"/>
      </w:pPr>
      <w:r>
        <w:t>This document summarizes the endurance-run analysis from endurance_motec_export.csv, combining core visualizations from MUR.py and advanced KPI analytics from MUR_advanced_analysis.py.</w:t>
      </w:r>
    </w:p>
    <w:p>
      <w:pPr>
        <w:pStyle w:val="Heading1"/>
      </w:pPr>
      <w:r>
        <w:t>Headline Results</w:t>
      </w:r>
    </w:p>
    <w:p>
      <w:pPr>
        <w:pStyle w:val="ListBullet"/>
        <w:spacing w:line="240" w:lineRule="auto" w:after="120"/>
      </w:pPr>
      <w:r>
        <w:t>Net energy (signed): 3.4594 kWh</w:t>
      </w:r>
    </w:p>
    <w:p>
      <w:pPr>
        <w:pStyle w:val="ListBullet"/>
        <w:spacing w:line="240" w:lineRule="auto" w:after="120"/>
      </w:pPr>
      <w:r>
        <w:t>Discharge-only energy: 3.4658 kWh</w:t>
      </w:r>
    </w:p>
    <w:p>
      <w:pPr>
        <w:pStyle w:val="ListBullet"/>
        <w:spacing w:line="240" w:lineRule="auto" w:after="120"/>
      </w:pPr>
      <w:r>
        <w:t>Regen recovered (absolute): 0.0064 kWh (0.18% of discharge)</w:t>
      </w:r>
    </w:p>
    <w:p>
      <w:pPr>
        <w:pStyle w:val="ListBullet"/>
        <w:spacing w:line="240" w:lineRule="auto" w:after="120"/>
      </w:pPr>
      <w:r>
        <w:t>Run duration: 3188.85 s</w:t>
      </w:r>
    </w:p>
    <w:p>
      <w:pPr>
        <w:pStyle w:val="ListBullet"/>
        <w:spacing w:line="240" w:lineRule="auto" w:after="120"/>
      </w:pPr>
      <w:r>
        <w:t>Approximate distance (speed-integrated): 25.797 km</w:t>
      </w:r>
    </w:p>
    <w:p>
      <w:pPr>
        <w:pStyle w:val="Heading1"/>
      </w:pPr>
      <w:r>
        <w:t>Visualizations (2-3 line interpretation each)</w:t>
      </w:r>
    </w:p>
    <w:p>
      <w:pPr>
        <w:pStyle w:val="Heading2"/>
      </w:pPr>
      <w:r>
        <w:t>1) Speed vs Time with Lap Split</w:t>
      </w:r>
    </w:p>
    <w:p>
      <w:r>
        <w:drawing>
          <wp:inline xmlns:a="http://schemas.openxmlformats.org/drawingml/2006/main" xmlns:pic="http://schemas.openxmlformats.org/drawingml/2006/picture">
            <wp:extent cx="5669280" cy="2061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_speed_la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</w:pPr>
      <w:r>
        <w:t>This plot shows speed variation across the full run and the red dashed lap split used in analysis.</w:t>
      </w:r>
    </w:p>
    <w:p>
      <w:pPr>
        <w:spacing w:line="240" w:lineRule="auto" w:after="120"/>
      </w:pPr>
      <w:r>
        <w:t>The split is based on 50% cumulative distance (proxy method), so it enables lap-wise comparison without an explicit lap counter.</w:t>
      </w:r>
    </w:p>
    <w:p>
      <w:pPr>
        <w:spacing w:line="240" w:lineRule="auto" w:after="120"/>
      </w:pPr>
      <w:r>
        <w:t>The second half appears more active at higher speeds than the first half.</w:t>
      </w:r>
    </w:p>
    <w:p>
      <w:pPr>
        <w:pStyle w:val="Heading2"/>
      </w:pPr>
      <w:r>
        <w:t>2) Battery Power vs Time</w:t>
      </w:r>
    </w:p>
    <w:p>
      <w:r>
        <w:drawing>
          <wp:inline xmlns:a="http://schemas.openxmlformats.org/drawingml/2006/main" xmlns:pic="http://schemas.openxmlformats.org/drawingml/2006/picture">
            <wp:extent cx="5669280" cy="2061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_power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</w:pPr>
      <w:r>
        <w:t>The gray trace is instantaneous battery power, while the orange trace is a short rolling mean for trend clarity.</w:t>
      </w:r>
    </w:p>
    <w:p>
      <w:pPr>
        <w:spacing w:line="240" w:lineRule="auto" w:after="120"/>
      </w:pPr>
      <w:r>
        <w:t>Power demand is highly transient, with repeated spikes rather than a flat baseline.</w:t>
      </w:r>
    </w:p>
    <w:p>
      <w:pPr>
        <w:spacing w:line="240" w:lineRule="auto" w:after="120"/>
      </w:pPr>
      <w:r>
        <w:t>This behavior aligns with acceleration-driven energy use instead of steady cruise draw.</w:t>
      </w:r>
    </w:p>
    <w:p>
      <w:pPr>
        <w:pStyle w:val="Heading2"/>
      </w:pPr>
      <w:r>
        <w:t>3) Battery Power Histogram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_power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</w:pPr>
      <w:r>
        <w:t>The histogram shows how often each power band occurs throughout the run.</w:t>
      </w:r>
    </w:p>
    <w:p>
      <w:pPr>
        <w:spacing w:line="240" w:lineRule="auto" w:after="120"/>
      </w:pPr>
      <w:r>
        <w:t>Most samples sit in lower-to-mid power ranges, with a long high-power tail from short bursts.</w:t>
      </w:r>
    </w:p>
    <w:p>
      <w:pPr>
        <w:spacing w:line="240" w:lineRule="auto" w:after="120"/>
      </w:pPr>
      <w:r>
        <w:t>This confirms that peak events exist, but they are not the dominant time occupancy.</w:t>
      </w:r>
    </w:p>
    <w:p>
      <w:pPr>
        <w:pStyle w:val="Heading2"/>
      </w:pPr>
      <w:r>
        <w:t>4) SOC vs Time</w:t>
      </w:r>
    </w:p>
    <w:p>
      <w:r>
        <w:drawing>
          <wp:inline xmlns:a="http://schemas.openxmlformats.org/drawingml/2006/main" xmlns:pic="http://schemas.openxmlformats.org/drawingml/2006/picture">
            <wp:extent cx="5669280" cy="1803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_s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</w:pPr>
      <w:r>
        <w:t>SOC trends down gradually over the run, consistent with net positive battery energy use.</w:t>
      </w:r>
    </w:p>
    <w:p>
      <w:pPr>
        <w:spacing w:line="240" w:lineRule="auto" w:after="120"/>
      </w:pPr>
      <w:r>
        <w:t>The progression is relatively smooth, with no severe discontinuities that would suggest major sensor instability.</w:t>
      </w:r>
    </w:p>
    <w:p>
      <w:pPr>
        <w:spacing w:line="240" w:lineRule="auto" w:after="120"/>
      </w:pPr>
      <w:r>
        <w:t>This provides a useful cross-check against integrated kWh results.</w:t>
      </w:r>
    </w:p>
    <w:p>
      <w:pPr>
        <w:pStyle w:val="Heading2"/>
      </w:pPr>
      <w:r>
        <w:t>5) Throttle vs Commanded Torque (Colored by Power)</w:t>
      </w:r>
    </w:p>
    <w:p>
      <w:r>
        <w:drawing>
          <wp:inline xmlns:a="http://schemas.openxmlformats.org/drawingml/2006/main" xmlns:pic="http://schemas.openxmlformats.org/drawingml/2006/picture">
            <wp:extent cx="5669280" cy="472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_throttle_torque_p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</w:pPr>
      <w:r>
        <w:t>Higher throttle generally corresponds to higher commanded torque, with color showing larger electrical power in that region.</w:t>
      </w:r>
    </w:p>
    <w:p>
      <w:pPr>
        <w:spacing w:line="240" w:lineRule="auto" w:after="120"/>
      </w:pPr>
      <w:r>
        <w:t>Spread at similar throttle indicates additional dependence on vehicle state (speed/load), not pedal alone.</w:t>
      </w:r>
    </w:p>
    <w:p>
      <w:pPr>
        <w:spacing w:line="240" w:lineRule="auto" w:after="120"/>
      </w:pPr>
      <w:r>
        <w:t>This plot helps explain driver demand versus electrical response.</w:t>
      </w:r>
    </w:p>
    <w:p>
      <w:pPr>
        <w:pStyle w:val="Heading2"/>
      </w:pPr>
      <w:r>
        <w:t>6) Brake Pressures vs Time</w:t>
      </w:r>
    </w:p>
    <w:p>
      <w:r>
        <w:drawing>
          <wp:inline xmlns:a="http://schemas.openxmlformats.org/drawingml/2006/main" xmlns:pic="http://schemas.openxmlformats.org/drawingml/2006/picture">
            <wp:extent cx="5669280" cy="20615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_brak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</w:pPr>
      <w:r>
        <w:t>Front and rear brake pressure traces identify repeated braking windows and their intensity.</w:t>
      </w:r>
    </w:p>
    <w:p>
      <w:pPr>
        <w:spacing w:line="240" w:lineRule="auto" w:after="120"/>
      </w:pPr>
      <w:r>
        <w:t>The distribution and overlap of pressure traces provide a view of braking style and balance behavior over time.</w:t>
      </w:r>
    </w:p>
    <w:p>
      <w:pPr>
        <w:spacing w:line="240" w:lineRule="auto" w:after="120"/>
      </w:pPr>
      <w:r>
        <w:t>These windows can be aligned with event-detection outputs for deeper review.</w:t>
      </w:r>
    </w:p>
    <w:p>
      <w:pPr>
        <w:pStyle w:val="Heading1"/>
      </w:pPr>
      <w:r>
        <w:t>Advanced Analytics Outputs (2-3 line interpretation each)</w:t>
      </w:r>
    </w:p>
    <w:p>
      <w:pPr>
        <w:pStyle w:val="Heading2"/>
      </w:pPr>
      <w:r>
        <w:t>Mode Energy Breakdown (mur_mode_energy_breakdown.csv)</w:t>
      </w:r>
    </w:p>
    <w:p>
      <w:pPr>
        <w:spacing w:line="240" w:lineRule="auto" w:after="120"/>
      </w:pPr>
      <w:r>
        <w:t>This table partitions energy by operating mode (accel, cruise, braking, idle, etc.).</w:t>
      </w:r>
    </w:p>
    <w:p>
      <w:pPr>
        <w:spacing w:line="240" w:lineRule="auto" w:after="120"/>
      </w:pPr>
      <w:r>
        <w:t>In this run, acceleration mode contributes the largest share of discharge energy, indicating burst-demand dominance.</w:t>
      </w:r>
    </w:p>
    <w:p>
      <w:pPr>
        <w:spacing w:line="240" w:lineRule="auto" w:after="120"/>
      </w:pPr>
      <w:r>
        <w:t>Cruise and idle consume far less by comparison, which is useful for strategy prioritization.</w:t>
      </w:r>
    </w:p>
    <w:p>
      <w:pPr>
        <w:pStyle w:val="Heading2"/>
      </w:pPr>
      <w:r>
        <w:t>Regen Effectiveness (mur_regen_summary.json)</w:t>
      </w:r>
    </w:p>
    <w:p>
      <w:pPr>
        <w:spacing w:line="240" w:lineRule="auto" w:after="120"/>
      </w:pPr>
      <w:r>
        <w:t>This summary reports net energy, discharge-only energy, and recovered regen energy in one place.</w:t>
      </w:r>
    </w:p>
    <w:p>
      <w:pPr>
        <w:spacing w:line="240" w:lineRule="auto" w:after="120"/>
      </w:pPr>
      <w:r>
        <w:t>Regen recovery is small (~0.18% of discharge), so current operation gains minimal endurance benefit from regen in this dataset.</w:t>
      </w:r>
    </w:p>
    <w:p>
      <w:pPr>
        <w:spacing w:line="240" w:lineRule="auto" w:after="120"/>
      </w:pPr>
      <w:r>
        <w:t>That result can guide whether calibration effort should focus on regen tuning or elsewhere.</w:t>
      </w:r>
    </w:p>
    <w:p>
      <w:pPr>
        <w:pStyle w:val="Heading2"/>
      </w:pPr>
      <w:r>
        <w:t>Data Quality Audit (mur_data_quality_report.json)</w:t>
      </w:r>
    </w:p>
    <w:p>
      <w:pPr>
        <w:spacing w:line="240" w:lineRule="auto" w:after="120"/>
      </w:pPr>
      <w:r>
        <w:t>This report evaluates timing consistency, missing-data fractions, and long constant-value runs for key channels.</w:t>
      </w:r>
    </w:p>
    <w:p>
      <w:pPr>
        <w:spacing w:line="240" w:lineRule="auto" w:after="120"/>
      </w:pPr>
      <w:r>
        <w:t>It establishes confidence boundaries for the analysis by documenting data health before interpretation.</w:t>
      </w:r>
    </w:p>
    <w:p>
      <w:pPr>
        <w:spacing w:line="240" w:lineRule="auto" w:after="120"/>
      </w:pPr>
      <w:r>
        <w:t>Including this audit strengthens defensibility of conclusions in technical review.</w:t>
      </w:r>
    </w:p>
    <w:p>
      <w:pPr>
        <w:pStyle w:val="Heading2"/>
      </w:pPr>
      <w:r>
        <w:t>Speed-Band Efficiency (mur_speed_band_efficiency.csv)</w:t>
      </w:r>
    </w:p>
    <w:p>
      <w:pPr>
        <w:spacing w:line="240" w:lineRule="auto" w:after="120"/>
      </w:pPr>
      <w:r>
        <w:t>This computes discharge energy intensity by speed band as Wh/km.</w:t>
      </w:r>
    </w:p>
    <w:p>
      <w:pPr>
        <w:spacing w:line="240" w:lineRule="auto" w:after="120"/>
      </w:pPr>
      <w:r>
        <w:t>It highlights where energy cost per kilometre rises, helping identify inefficient operating regimes.</w:t>
      </w:r>
    </w:p>
    <w:p>
      <w:pPr>
        <w:spacing w:line="240" w:lineRule="auto" w:after="120"/>
      </w:pPr>
      <w:r>
        <w:t>These bands are practical for endurance pacing and drive-strategy discussion.</w:t>
      </w:r>
    </w:p>
    <w:p>
      <w:pPr>
        <w:pStyle w:val="Heading2"/>
      </w:pPr>
      <w:r>
        <w:t>Event Detection (mur_events.csv)</w:t>
      </w:r>
    </w:p>
    <w:p>
      <w:pPr>
        <w:spacing w:line="240" w:lineRule="auto" w:after="120"/>
      </w:pPr>
      <w:r>
        <w:t>This table captures timestamps and durations of hard acceleration, hard braking, and regen windows.</w:t>
      </w:r>
    </w:p>
    <w:p>
      <w:pPr>
        <w:spacing w:line="240" w:lineRule="auto" w:after="120"/>
      </w:pPr>
      <w:r>
        <w:t>It converts dense telemetry into discrete, reviewable events that are easy to inspect and communicate.</w:t>
      </w:r>
    </w:p>
    <w:p>
      <w:pPr>
        <w:spacing w:line="240" w:lineRule="auto" w:after="120"/>
      </w:pPr>
      <w:r>
        <w:t>These events can be used to connect driver behavior, power demand, and efficiency outcomes.</w:t>
      </w:r>
    </w:p>
    <w:p>
      <w:pPr>
        <w:pStyle w:val="Heading1"/>
      </w:pPr>
      <w:r>
        <w:t>Notes on Method Assumptions</w:t>
      </w:r>
    </w:p>
    <w:p>
      <w:pPr>
        <w:pStyle w:val="ListBullet"/>
        <w:spacing w:line="240" w:lineRule="auto" w:after="120"/>
      </w:pPr>
      <w:r>
        <w:t>Pack power uses logged battery power with scaling consistent with 0.1 V / 0.1 A Motec-style raw units (division by 100 to watts).</w:t>
      </w:r>
    </w:p>
    <w:p>
      <w:pPr>
        <w:pStyle w:val="ListBullet"/>
        <w:spacing w:line="240" w:lineRule="auto" w:after="120"/>
      </w:pPr>
      <w:r>
        <w:t>Distance and lap split are inferred from speed integration; no explicit lap counter exists in the file.</w:t>
      </w:r>
    </w:p>
    <w:p>
      <w:pPr>
        <w:pStyle w:val="ListBullet"/>
        <w:spacing w:line="240" w:lineRule="auto" w:after="120"/>
      </w:pPr>
      <w:r>
        <w:t>Short gaps are forward/backward filled for continuity; remaining NaNs are handled conservatively for stable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