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B2A4A"/>
          <w:sz w:val="64"/>
          <w:szCs w:val="64"/>
        </w:rPr>
        <w:t xml:space="preserve">FraudForge AI</w:t>
      </w:r>
    </w:p>
    <w:p>
      <w:pPr>
        <w:spacing w:after="260"/>
        <w:jc w:val="center"/>
      </w:pPr>
      <w:r>
        <w:rPr>
          <w:b/>
          <w:bCs/>
          <w:color w:val="8E2418"/>
          <w:sz w:val="32"/>
          <w:szCs w:val="32"/>
        </w:rPr>
        <w:t xml:space="preserve">Comprehensive Solution Walkthrough</w:t>
      </w:r>
    </w:p>
    <w:p>
      <w:pPr>
        <w:spacing w:after="60"/>
        <w:jc w:val="center"/>
      </w:pPr>
      <w:r>
        <w:rPr>
          <w:i/>
          <w:iCs/>
          <w:color w:val="5A5A5A"/>
          <w:sz w:val="24"/>
          <w:szCs w:val="24"/>
        </w:rPr>
        <w:t xml:space="preserve">Closed-Loop Adversarial Payment Defense &amp; Zero-Day Generalization Framework</w:t>
      </w:r>
    </w:p>
    <w:p>
      <w:pPr>
        <w:spacing w:after="400" w:before="200"/>
        <w:jc w:val="center"/>
      </w:pPr>
      <w:r>
        <w:rPr>
          <w:b/>
          <w:bCs/>
          <w:color w:val="1B2A4A"/>
          <w:sz w:val="22"/>
          <w:szCs w:val="22"/>
        </w:rPr>
        <w:t xml:space="preserve">Mastercard Innovation Challenge  ·  Global Fintech Fest (GFF) 2026</w:t>
      </w:r>
    </w:p>
    <w:p>
      <w:pPr>
        <w:spacing w:after="100" w:before="300"/>
      </w:pPr>
      <w:r>
        <w:rPr>
          <w:b/>
          <w:bCs/>
          <w:color w:val="C0392B"/>
          <w:sz w:val="22"/>
          <w:szCs w:val="22"/>
        </w:rPr>
        <w:t xml:space="preserve">⚠  Synthetic Defensive Research &amp; Simulation Disclaimer</w:t>
      </w:r>
    </w:p>
    <w:p>
      <w:pPr>
        <w:pBdr>
          <w:left w:val="single" w:color="C0392B" w:sz="24" w:space="8"/>
        </w:pBdr>
        <w:shd w:fill="FDEDEC" w:color="auto" w:val="clear"/>
        <w:spacing w:after="60" w:before="60"/>
        <w:ind w:left="200"/>
      </w:pPr>
      <w:r>
        <w:rPr>
          <w:b/>
          <w:bCs/>
          <w:i/>
          <w:iCs/>
          <w:color w:val="7B241C"/>
          <w:sz w:val="20"/>
          <w:szCs w:val="20"/>
        </w:rPr>
        <w:t xml:space="preserve">FraudForge AI is an advanced synthetic defensive simulation and adversarial machine learning research prototype.</w:t>
      </w:r>
    </w:p>
    <w:p>
      <w:pPr>
        <w:pStyle w:val="ListParagraph"/>
        <w:numPr>
          <w:ilvl w:val="0"/>
          <w:numId w:val="2"/>
        </w:numPr>
        <w:spacing w:after="90"/>
      </w:pPr>
      <w:r>
        <w:rPr>
          <w:color w:val="222222"/>
          <w:sz w:val="21"/>
          <w:szCs w:val="21"/>
        </w:rPr>
        <w:t xml:space="preserve">All transaction streams, user profiles, and behavioral telemetry are mathematically synthesized using calibrated statistical distributions (Pareto, log-normal, beta, and empirical diurnal curves).</w:t>
      </w:r>
    </w:p>
    <w:p>
      <w:pPr>
        <w:pStyle w:val="ListParagraph"/>
        <w:numPr>
          <w:ilvl w:val="0"/>
          <w:numId w:val="2"/>
        </w:numPr>
        <w:spacing w:after="90"/>
      </w:pPr>
      <w:r>
        <w:rPr>
          <w:color w:val="222222"/>
          <w:sz w:val="21"/>
          <w:szCs w:val="21"/>
        </w:rPr>
        <w:t xml:space="preserve">Attack archetypes and evolved genomes represent synthetic adversarial testing scenarios constructed to proactively probe detector blind spots.</w:t>
      </w:r>
    </w:p>
    <w:p>
      <w:pPr>
        <w:pStyle w:val="ListParagraph"/>
        <w:numPr>
          <w:ilvl w:val="0"/>
          <w:numId w:val="2"/>
        </w:numPr>
        <w:spacing w:after="90"/>
      </w:pPr>
      <w:r>
        <w:rPr>
          <w:color w:val="222222"/>
          <w:sz w:val="21"/>
          <w:szCs w:val="21"/>
        </w:rPr>
        <w:t xml:space="preserve">Policy decision thresholds, risk weights, reason codes, and simulated cost structures demonstrate algorithmic principles and do not represent Mastercard's proprietary production rules, confidential fraud risk parameters, or live global payment network integrations.</w:t>
      </w:r>
    </w:p>
    <w:p>
      <w:pPr>
        <w:pStyle w:val="ListParagraph"/>
        <w:numPr>
          <w:ilvl w:val="0"/>
          <w:numId w:val="2"/>
        </w:numPr>
        <w:spacing w:after="90"/>
      </w:pPr>
      <w:r>
        <w:rPr>
          <w:color w:val="222222"/>
          <w:sz w:val="21"/>
          <w:szCs w:val="21"/>
        </w:rPr>
        <w:t xml:space="preserve">Metrics such as "Money Protected" and "Generalization Gain" represent evaluations on synthetic benchmark datasets (D_test, D_adversarial, D_unseen) and should not be construed as realized financial savings on live payment volumes.</w:t>
      </w:r>
    </w:p>
    <w:p>
      <w:r>
        <w:br w:type="page"/>
      </w:r>
    </w:p>
    <w:p>
      <w:pPr>
        <w:pStyle w:val="Heading1"/>
        <w:pBdr>
          <w:bottom w:val="single" w:color="1B2A4A" w:sz="8" w:space="4"/>
        </w:pBdr>
        <w:spacing w:after="200" w:before="400"/>
      </w:pPr>
      <w:r>
        <w:rPr>
          <w:b/>
          <w:bCs/>
          <w:color w:val="1B2A4A"/>
          <w:sz w:val="30"/>
          <w:szCs w:val="30"/>
        </w:rPr>
        <w:t xml:space="preserve">Table of Contents</w:t>
      </w:r>
    </w:p>
    <w:p>
      <w:pPr>
        <w:tabs>
          <w:tab w:val="right" w:pos="9360" w:leader="dot"/>
        </w:tabs>
        <w:spacing w:after="160"/>
      </w:pPr>
      <w:r>
        <w:rPr>
          <w:color w:val="222222"/>
          <w:sz w:val="22"/>
          <w:szCs w:val="22"/>
        </w:rPr>
        <w:t xml:space="preserve">1. Executive Summary</w:t>
      </w:r>
    </w:p>
    <w:p>
      <w:pPr>
        <w:tabs>
          <w:tab w:val="right" w:pos="9360" w:leader="dot"/>
        </w:tabs>
        <w:spacing w:after="160"/>
      </w:pPr>
      <w:r>
        <w:rPr>
          <w:color w:val="222222"/>
          <w:sz w:val="22"/>
          <w:szCs w:val="22"/>
        </w:rPr>
        <w:t xml:space="preserve">2. Problem Statement &amp; the Blind-Spot Dilemma</w:t>
      </w:r>
    </w:p>
    <w:p>
      <w:pPr>
        <w:tabs>
          <w:tab w:val="right" w:pos="9360" w:leader="dot"/>
        </w:tabs>
        <w:spacing w:after="160"/>
      </w:pPr>
      <w:r>
        <w:rPr>
          <w:color w:val="222222"/>
          <w:sz w:val="22"/>
          <w:szCs w:val="22"/>
        </w:rPr>
        <w:t xml:space="preserve">3. FraudForge AI — The Proposed Solution</w:t>
      </w:r>
    </w:p>
    <w:p>
      <w:pPr>
        <w:tabs>
          <w:tab w:val="right" w:pos="9360" w:leader="dot"/>
        </w:tabs>
        <w:spacing w:after="160"/>
      </w:pPr>
      <w:r>
        <w:rPr>
          <w:color w:val="222222"/>
          <w:sz w:val="22"/>
          <w:szCs w:val="22"/>
        </w:rPr>
        <w:t xml:space="preserve">4. System Architecture</w:t>
      </w:r>
    </w:p>
    <w:p>
      <w:pPr>
        <w:tabs>
          <w:tab w:val="right" w:pos="9360" w:leader="dot"/>
        </w:tabs>
        <w:spacing w:after="160"/>
      </w:pPr>
      <w:r>
        <w:rPr>
          <w:color w:val="222222"/>
          <w:sz w:val="22"/>
          <w:szCs w:val="22"/>
        </w:rPr>
        <w:t xml:space="preserve">5. Machine Learning Methodology &amp; Feature Pipeline</w:t>
      </w:r>
    </w:p>
    <w:p>
      <w:pPr>
        <w:tabs>
          <w:tab w:val="right" w:pos="9360" w:leader="dot"/>
        </w:tabs>
        <w:spacing w:after="160"/>
      </w:pPr>
      <w:r>
        <w:rPr>
          <w:color w:val="222222"/>
          <w:sz w:val="22"/>
          <w:szCs w:val="22"/>
        </w:rPr>
        <w:t xml:space="preserve">6. The 10-Dimensional Attack Genome Matrix</w:t>
      </w:r>
    </w:p>
    <w:p>
      <w:pPr>
        <w:tabs>
          <w:tab w:val="right" w:pos="9360" w:leader="dot"/>
        </w:tabs>
        <w:spacing w:after="160"/>
      </w:pPr>
      <w:r>
        <w:rPr>
          <w:color w:val="222222"/>
          <w:sz w:val="22"/>
          <w:szCs w:val="22"/>
        </w:rPr>
        <w:t xml:space="preserve">7. Red-Team Discovery &amp; Blue-Team Hardening Loop</w:t>
      </w:r>
    </w:p>
    <w:p>
      <w:pPr>
        <w:tabs>
          <w:tab w:val="right" w:pos="9360" w:leader="dot"/>
        </w:tabs>
        <w:spacing w:after="160"/>
      </w:pPr>
      <w:r>
        <w:rPr>
          <w:color w:val="222222"/>
          <w:sz w:val="22"/>
          <w:szCs w:val="22"/>
        </w:rPr>
        <w:t xml:space="preserve">8. Verified Empirical Benchmark Results</w:t>
      </w:r>
    </w:p>
    <w:p>
      <w:pPr>
        <w:tabs>
          <w:tab w:val="right" w:pos="9360" w:leader="dot"/>
        </w:tabs>
        <w:spacing w:after="160"/>
      </w:pPr>
      <w:r>
        <w:rPr>
          <w:color w:val="222222"/>
          <w:sz w:val="22"/>
          <w:szCs w:val="22"/>
        </w:rPr>
        <w:t xml:space="preserve">9. Risk-Aware Decision Engine &amp; Explainability</w:t>
      </w:r>
    </w:p>
    <w:p>
      <w:pPr>
        <w:tabs>
          <w:tab w:val="right" w:pos="9360" w:leader="dot"/>
        </w:tabs>
        <w:spacing w:after="160"/>
      </w:pPr>
      <w:r>
        <w:rPr>
          <w:color w:val="222222"/>
          <w:sz w:val="22"/>
          <w:szCs w:val="22"/>
        </w:rPr>
        <w:t xml:space="preserve">10. REST API Architecture</w:t>
      </w:r>
    </w:p>
    <w:p>
      <w:pPr>
        <w:tabs>
          <w:tab w:val="right" w:pos="9360" w:leader="dot"/>
        </w:tabs>
        <w:spacing w:after="160"/>
      </w:pPr>
      <w:r>
        <w:rPr>
          <w:color w:val="222222"/>
          <w:sz w:val="22"/>
          <w:szCs w:val="22"/>
        </w:rPr>
        <w:t xml:space="preserve">11. Interactive Frontend Architecture</w:t>
      </w:r>
    </w:p>
    <w:p>
      <w:pPr>
        <w:tabs>
          <w:tab w:val="right" w:pos="9360" w:leader="dot"/>
        </w:tabs>
        <w:spacing w:after="160"/>
      </w:pPr>
      <w:r>
        <w:rPr>
          <w:color w:val="222222"/>
          <w:sz w:val="22"/>
          <w:szCs w:val="22"/>
        </w:rPr>
        <w:t xml:space="preserve">12. Verification &amp; Automated Test Suite</w:t>
      </w:r>
    </w:p>
    <w:p>
      <w:pPr>
        <w:tabs>
          <w:tab w:val="right" w:pos="9360" w:leader="dot"/>
        </w:tabs>
        <w:spacing w:after="160"/>
      </w:pPr>
      <w:r>
        <w:rPr>
          <w:color w:val="222222"/>
          <w:sz w:val="22"/>
          <w:szCs w:val="22"/>
        </w:rPr>
        <w:t xml:space="preserve">13. Limitations &amp; Future Work</w:t>
      </w:r>
    </w:p>
    <w:p>
      <w:pPr>
        <w:tabs>
          <w:tab w:val="right" w:pos="9360" w:leader="dot"/>
        </w:tabs>
        <w:spacing w:after="160"/>
      </w:pPr>
      <w:r>
        <w:rPr>
          <w:color w:val="222222"/>
          <w:sz w:val="22"/>
          <w:szCs w:val="22"/>
        </w:rPr>
        <w:t xml:space="preserve">14. Conclusion</w:t>
      </w:r>
    </w:p>
    <w:p>
      <w:r>
        <w:br w:type="page"/>
      </w:r>
    </w:p>
    <w:p>
      <w:pPr>
        <w:pStyle w:val="Heading1"/>
        <w:pBdr>
          <w:bottom w:val="single" w:color="1B2A4A" w:sz="8" w:space="4"/>
        </w:pBdr>
        <w:spacing w:after="200" w:before="400"/>
      </w:pPr>
      <w:r>
        <w:rPr>
          <w:b/>
          <w:bCs/>
          <w:color w:val="1B2A4A"/>
          <w:sz w:val="30"/>
          <w:szCs w:val="30"/>
        </w:rPr>
        <w:t xml:space="preserve">1. Executive Summary</w:t>
      </w:r>
    </w:p>
    <w:p>
      <w:pPr>
        <w:spacing w:after="180" w:line="276"/>
      </w:pPr>
      <w:r>
        <w:rPr>
          <w:color w:val="222222"/>
          <w:sz w:val="21"/>
          <w:szCs w:val="21"/>
        </w:rPr>
        <w:t xml:space="preserve">Modern payment ecosystems face an asymmetric threat: while financial institutions predominantly train fraud detection models on historical fraud registries, threat actors increasingly utilize Generative AI, autonomous payment agents, and polymorphic evasion techniques to craft zero-day attack vectors. Because legacy detectors over-rely on known heuristic cues (such as sudden device changes, high velocity, or anomalous dollar amounts), sophisticated adversaries bypass detection simply by masking these specific signals.</w:t>
      </w:r>
    </w:p>
    <w:p>
      <w:pPr>
        <w:spacing w:after="180" w:line="276"/>
      </w:pPr>
      <w:r>
        <w:rPr>
          <w:b/>
          <w:bCs/>
          <w:sz w:val="21"/>
          <w:szCs w:val="21"/>
        </w:rPr>
        <w:t xml:space="preserve">FraudForge AI </w:t>
      </w:r>
      <w:r>
        <w:rPr>
          <w:sz w:val="21"/>
          <w:szCs w:val="21"/>
        </w:rPr>
        <w:t xml:space="preserve">resolves this systemic asymmetry through a continuous, closed-loop Red Team / Blue Team AI Defense Lab:</w:t>
      </w:r>
    </w:p>
    <w:p>
      <w:pPr>
        <w:pStyle w:val="ListParagraph"/>
        <w:numPr>
          <w:ilvl w:val="0"/>
          <w:numId w:val="3"/>
        </w:numPr>
        <w:spacing w:after="90"/>
      </w:pPr>
      <w:r>
        <w:rPr>
          <w:b/>
          <w:bCs/>
          <w:sz w:val="21"/>
          <w:szCs w:val="21"/>
        </w:rPr>
        <w:t xml:space="preserve">Attack Genome Decomposition: </w:t>
      </w:r>
      <w:r>
        <w:rPr>
          <w:sz w:val="21"/>
          <w:szCs w:val="21"/>
        </w:rPr>
        <w:t xml:space="preserve">Deconstructs payment attacks into an orthogonal, 10-dimensional behavioral genome across 28 foundational archetypes.</w:t>
      </w:r>
    </w:p>
    <w:p>
      <w:pPr>
        <w:pStyle w:val="ListParagraph"/>
        <w:numPr>
          <w:ilvl w:val="0"/>
          <w:numId w:val="3"/>
        </w:numPr>
        <w:spacing w:after="90"/>
      </w:pPr>
      <w:r>
        <w:rPr>
          <w:b/>
          <w:bCs/>
          <w:sz w:val="21"/>
          <w:szCs w:val="21"/>
        </w:rPr>
        <w:t xml:space="preserve">Adversarial Red-Team Discovery: </w:t>
      </w:r>
      <w:r>
        <w:rPr>
          <w:sz w:val="21"/>
          <w:szCs w:val="21"/>
        </w:rPr>
        <w:t xml:space="preserve">Algorithmically evolves novel synthetic fraud candidates via mutation and crossover operators, evaluating them directly against the baseline detector to uncover blind spots before fraudsters exploit them.</w:t>
      </w:r>
    </w:p>
    <w:p>
      <w:pPr>
        <w:pStyle w:val="ListParagraph"/>
        <w:numPr>
          <w:ilvl w:val="0"/>
          <w:numId w:val="3"/>
        </w:numPr>
        <w:spacing w:after="90"/>
      </w:pPr>
      <w:r>
        <w:rPr>
          <w:b/>
          <w:bCs/>
          <w:sz w:val="21"/>
          <w:szCs w:val="21"/>
        </w:rPr>
        <w:t xml:space="preserve">Adaptive Blue-Team Hardening: </w:t>
      </w:r>
      <w:r>
        <w:rPr>
          <w:sz w:val="21"/>
          <w:szCs w:val="21"/>
        </w:rPr>
        <w:t xml:space="preserve">Automatically mines false negatives, extracts feature dependency imbalances, and retrains the detector on synthetic blind spots.</w:t>
      </w:r>
    </w:p>
    <w:p>
      <w:pPr>
        <w:pStyle w:val="ListParagraph"/>
        <w:numPr>
          <w:ilvl w:val="0"/>
          <w:numId w:val="3"/>
        </w:numPr>
        <w:spacing w:after="90"/>
      </w:pPr>
      <w:r>
        <w:rPr>
          <w:b/>
          <w:bCs/>
          <w:sz w:val="21"/>
          <w:szCs w:val="21"/>
        </w:rPr>
        <w:t xml:space="preserve">Empirical Zero-Day Generalization: </w:t>
      </w:r>
      <w:r>
        <w:rPr>
          <w:sz w:val="21"/>
          <w:szCs w:val="21"/>
        </w:rPr>
        <w:t xml:space="preserve">Demonstrates that adversarial retraining transfers to completely unseen Generation-2 attack variants, improving detection recall from 23.10% to 93.80% (+70.70 percentage points) with a 91.9% reduction in false negatives on synthetic benchmarks.</w:t>
      </w:r>
    </w:p>
    <w:p>
      <w:pPr>
        <w:pStyle w:val="ListParagraph"/>
        <w:numPr>
          <w:ilvl w:val="0"/>
          <w:numId w:val="3"/>
        </w:numPr>
        <w:spacing w:after="90"/>
      </w:pPr>
      <w:r>
        <w:rPr>
          <w:b/>
          <w:bCs/>
          <w:sz w:val="21"/>
          <w:szCs w:val="21"/>
        </w:rPr>
        <w:t xml:space="preserve">Multi-Tier Risk-Aware Decision Engine: </w:t>
      </w:r>
      <w:r>
        <w:rPr>
          <w:sz w:val="21"/>
          <w:szCs w:val="21"/>
        </w:rPr>
        <w:t xml:space="preserve">Translates calibrated probabilities into four operational payment actions (ALLOW, MONITOR, STEP_UP_AUTH, BLOCK) with transparent, explainable reason codes, reducing transaction friction while preserving intercept rates.</w:t>
      </w:r>
    </w:p>
    <w:p>
      <w:pPr>
        <w:pStyle w:val="Heading1"/>
        <w:pBdr>
          <w:bottom w:val="single" w:color="1B2A4A" w:sz="8" w:space="4"/>
        </w:pBdr>
        <w:spacing w:after="200" w:before="400"/>
      </w:pPr>
      <w:r>
        <w:rPr>
          <w:b/>
          <w:bCs/>
          <w:color w:val="1B2A4A"/>
          <w:sz w:val="30"/>
          <w:szCs w:val="30"/>
        </w:rPr>
        <w:t xml:space="preserve">2. Problem Statement &amp; the Blind-Spot Dilemma</w:t>
      </w:r>
    </w:p>
    <w:p>
      <w:pPr>
        <w:pStyle w:val="Heading2"/>
        <w:spacing w:after="160" w:before="320"/>
      </w:pPr>
      <w:r>
        <w:rPr>
          <w:b/>
          <w:bCs/>
          <w:color w:val="8E2418"/>
          <w:sz w:val="24"/>
          <w:szCs w:val="24"/>
        </w:rPr>
        <w:t xml:space="preserve">2.1 The Asymmetry of Historical-Data Learning</w:t>
      </w:r>
    </w:p>
    <w:p>
      <w:pPr>
        <w:spacing w:after="180" w:line="276"/>
      </w:pPr>
      <w:r>
        <w:rPr>
          <w:color w:val="222222"/>
          <w:sz w:val="21"/>
          <w:szCs w:val="21"/>
        </w:rPr>
        <w:t xml:space="preserve">Supervised machine learning algorithms (e.g., XGBoost, LightGBM, Deep Neural Networks) optimize decision boundaries against distributions observed in historical training sets. When trained on conventional payment fraud data, classifiers naturally identify the most prominent historical discriminators:</w:t>
      </w:r>
    </w:p>
    <w:p>
      <w:pPr>
        <w:pStyle w:val="ListParagraph"/>
        <w:numPr>
          <w:ilvl w:val="0"/>
          <w:numId w:val="2"/>
        </w:numPr>
        <w:spacing w:after="90"/>
      </w:pPr>
      <w:r>
        <w:rPr>
          <w:rFonts w:ascii="Consolas" w:cs="Consolas" w:eastAsia="Consolas" w:hAnsi="Consolas"/>
          <w:sz w:val="20"/>
          <w:szCs w:val="20"/>
        </w:rPr>
        <w:t xml:space="preserve">device_change = 1</w:t>
      </w:r>
      <w:r>
        <w:rPr>
          <w:sz w:val="20"/>
          <w:szCs w:val="20"/>
        </w:rPr>
        <w:t xml:space="preserve">  (New, unrecognized device)</w:t>
      </w:r>
    </w:p>
    <w:p>
      <w:pPr>
        <w:pStyle w:val="ListParagraph"/>
        <w:numPr>
          <w:ilvl w:val="0"/>
          <w:numId w:val="2"/>
        </w:numPr>
        <w:spacing w:after="90"/>
      </w:pPr>
      <w:r>
        <w:rPr>
          <w:rFonts w:ascii="Consolas" w:cs="Consolas" w:eastAsia="Consolas" w:hAnsi="Consolas"/>
          <w:sz w:val="20"/>
          <w:szCs w:val="20"/>
        </w:rPr>
        <w:t xml:space="preserve">transaction_velocity_1h &gt;&gt; baseline</w:t>
      </w:r>
      <w:r>
        <w:rPr>
          <w:sz w:val="20"/>
          <w:szCs w:val="20"/>
        </w:rPr>
        <w:t xml:space="preserve">  (Rapid card-draining bursts)</w:t>
      </w:r>
    </w:p>
    <w:p>
      <w:pPr>
        <w:pStyle w:val="ListParagraph"/>
        <w:numPr>
          <w:ilvl w:val="0"/>
          <w:numId w:val="2"/>
        </w:numPr>
        <w:spacing w:after="90"/>
      </w:pPr>
      <w:r>
        <w:rPr>
          <w:rFonts w:ascii="Consolas" w:cs="Consolas" w:eastAsia="Consolas" w:hAnsi="Consolas"/>
          <w:sz w:val="20"/>
          <w:szCs w:val="20"/>
        </w:rPr>
        <w:t xml:space="preserve">transaction_amount &gt;&gt; average_customer_amount</w:t>
      </w:r>
      <w:r>
        <w:rPr>
          <w:sz w:val="20"/>
          <w:szCs w:val="20"/>
        </w:rPr>
        <w:t xml:space="preserve">  (Sudden high-ticket purchases)</w:t>
      </w:r>
    </w:p>
    <w:p>
      <w:pPr>
        <w:pStyle w:val="ListParagraph"/>
        <w:numPr>
          <w:ilvl w:val="0"/>
          <w:numId w:val="2"/>
        </w:numPr>
        <w:spacing w:after="90"/>
      </w:pPr>
      <w:r>
        <w:rPr>
          <w:rFonts w:ascii="Consolas" w:cs="Consolas" w:eastAsia="Consolas" w:hAnsi="Consolas"/>
          <w:sz w:val="20"/>
          <w:szCs w:val="20"/>
        </w:rPr>
        <w:t xml:space="preserve">IP_risk_score &gt; 0.80</w:t>
      </w:r>
      <w:r>
        <w:rPr>
          <w:sz w:val="20"/>
          <w:szCs w:val="20"/>
        </w:rPr>
        <w:t xml:space="preserve">  (Flagged datacenter proxies or VPNs)</w:t>
      </w:r>
    </w:p>
    <w:p>
      <w:pPr>
        <w:pStyle w:val="Heading2"/>
        <w:spacing w:after="160" w:before="320"/>
      </w:pPr>
      <w:r>
        <w:rPr>
          <w:b/>
          <w:bCs/>
          <w:color w:val="8E2418"/>
          <w:sz w:val="24"/>
          <w:szCs w:val="24"/>
        </w:rPr>
        <w:t xml:space="preserve">2.2 The Adversarial Blind Spot</w:t>
      </w:r>
    </w:p>
    <w:p>
      <w:pPr>
        <w:spacing w:after="180" w:line="276"/>
      </w:pPr>
      <w:r>
        <w:rPr>
          <w:color w:val="222222"/>
          <w:sz w:val="21"/>
          <w:szCs w:val="21"/>
        </w:rPr>
        <w:t xml:space="preserve">When an adversary utilizes Generative AI to execute credential abuse via trusted-device masking, low-and-slow velocity smoothing, or sub-threshold amount structuring, the historical cues vanish. Because the model placed disproportionate decision weight on device_change, its detection probability collapses:</w:t>
      </w:r>
    </w:p>
    <w:p>
      <w:pPr>
        <w:spacing w:after="120" w:before="120"/>
        <w:jc w:val="center"/>
      </w:pPr>
      <w:r>
        <w:rPr>
          <w:rFonts w:ascii="Consolas" w:cs="Consolas" w:eastAsia="Consolas" w:hAnsi="Consolas"/>
          <w:i/>
          <w:iCs/>
          <w:color w:val="1B2A4A"/>
          <w:sz w:val="20"/>
          <w:szCs w:val="20"/>
        </w:rPr>
        <w:t xml:space="preserve">P(Fraud | x) ≈ σ( w_device · x_device + w_amount · x_amount + … )</w:t>
      </w:r>
    </w:p>
    <w:p>
      <w:pPr>
        <w:spacing w:after="180" w:line="276"/>
      </w:pPr>
      <w:r>
        <w:rPr>
          <w:color w:val="222222"/>
          <w:sz w:val="21"/>
          <w:szCs w:val="21"/>
        </w:rPr>
        <w:t xml:space="preserve">When x_device = 0 (masked via virtual device clones) and x_amount matches normal distributions, the detector outputs a low risk score (P &lt; 0.30). Consequently, the transaction is categorized as ALLOW, creating an exploitable zero-day blind spot.</w:t>
      </w:r>
    </w:p>
    <w:p>
      <w:pPr>
        <w:shd w:fill="1B2A4A" w:color="auto" w:val="clear"/>
        <w:spacing w:after="0" w:line="240"/>
      </w:pPr>
      <w:r>
        <w:rPr>
          <w:rFonts w:ascii="Consolas" w:cs="Consolas" w:eastAsia="Consolas" w:hAnsi="Consolas"/>
          <w:color w:val="E8ECF3"/>
          <w:sz w:val="16"/>
          <w:szCs w:val="16"/>
        </w:rPr>
        <w:t xml:space="preserve">Adversary Strategy:            Baseline Detector State:           Outcome:</w:t>
      </w:r>
    </w:p>
    <w:p>
      <w:pPr>
        <w:shd w:fill="1B2A4A" w:color="auto" w:val="clear"/>
        <w:spacing w:after="0" w:line="240"/>
      </w:pPr>
      <w:r>
        <w:rPr>
          <w:rFonts w:ascii="Consolas" w:cs="Consolas" w:eastAsia="Consolas" w:hAnsi="Consolas"/>
          <w:color w:val="E8ECF3"/>
          <w:sz w:val="16"/>
          <w:szCs w:val="16"/>
        </w:rPr>
        <w:t xml:space="preserve">GenAI Behavioral Mimicry    →  Heavy Over-Reliance on         →   FALSE NEGATIVE</w:t>
      </w:r>
    </w:p>
    <w:p>
      <w:pPr>
        <w:shd w:fill="1B2A4A" w:color="auto" w:val="clear"/>
        <w:spacing w:after="0" w:line="240"/>
      </w:pPr>
      <w:r>
        <w:rPr>
          <w:rFonts w:ascii="Consolas" w:cs="Consolas" w:eastAsia="Consolas" w:hAnsi="Consolas"/>
          <w:color w:val="E8ECF3"/>
          <w:sz w:val="16"/>
          <w:szCs w:val="16"/>
        </w:rPr>
        <w:t xml:space="preserve">+ Trusted-Device Masking       "device_change" Signal             Baseline Recall: 23.10%</w:t>
      </w:r>
    </w:p>
    <w:p>
      <w:pPr>
        <w:shd w:fill="1B2A4A" w:color="auto" w:val="clear"/>
        <w:spacing w:after="0" w:line="240"/>
      </w:pPr>
      <w:r>
        <w:rPr>
          <w:rFonts w:ascii="Consolas" w:cs="Consolas" w:eastAsia="Consolas" w:hAnsi="Consolas"/>
          <w:color w:val="E8ECF3"/>
          <w:sz w:val="16"/>
          <w:szCs w:val="16"/>
        </w:rPr>
        <w:t xml:space="preserve">+ Sub-Threshold Amounts        (Blind to Subtle Telemetry)        (769 / 1,000 Missed)</w:t>
      </w:r>
    </w:p>
    <w:p>
      <w:pPr>
        <w:spacing w:after="200"/>
      </w:pPr>
    </w:p>
    <w:p>
      <w:pPr>
        <w:pStyle w:val="Heading1"/>
        <w:pBdr>
          <w:bottom w:val="single" w:color="1B2A4A" w:sz="8" w:space="4"/>
        </w:pBdr>
        <w:spacing w:after="200" w:before="400"/>
      </w:pPr>
      <w:r>
        <w:rPr>
          <w:b/>
          <w:bCs/>
          <w:color w:val="1B2A4A"/>
          <w:sz w:val="30"/>
          <w:szCs w:val="30"/>
        </w:rPr>
        <w:t xml:space="preserve">3. FraudForge AI — The Proposed Solution</w:t>
      </w:r>
    </w:p>
    <w:p>
      <w:pPr>
        <w:spacing w:after="180" w:line="276"/>
      </w:pPr>
      <w:r>
        <w:rPr>
          <w:sz w:val="21"/>
          <w:szCs w:val="21"/>
        </w:rPr>
        <w:t xml:space="preserve">FraudForge AI introduces a proactive paradigm: </w:t>
      </w:r>
      <w:r>
        <w:rPr>
          <w:b/>
          <w:bCs/>
          <w:sz w:val="21"/>
          <w:szCs w:val="21"/>
        </w:rPr>
        <w:t xml:space="preserve">do not wait for real fraud losses to occur to collect training labels.</w:t>
      </w:r>
      <w:r>
        <w:rPr>
          <w:sz w:val="21"/>
          <w:szCs w:val="21"/>
        </w:rPr>
        <w:t xml:space="preserve"> Instead, use algorithmic red-teaming to synthesize defensive blind-spot variants, evaluate detection failures in a sandboxed laboratory, and harden the model before deployment.</w:t>
      </w:r>
    </w:p>
    <w:p>
      <w:pPr>
        <w:pStyle w:val="Heading2"/>
        <w:spacing w:after="160" w:before="320"/>
      </w:pPr>
      <w:r>
        <w:rPr>
          <w:b/>
          <w:bCs/>
          <w:color w:val="8E2418"/>
          <w:sz w:val="24"/>
          <w:szCs w:val="24"/>
        </w:rPr>
        <w:t xml:space="preserve">Core Closed-Loop Pipeline</w:t>
      </w:r>
    </w:p>
    <w:p>
      <w:pPr>
        <w:shd w:fill="1B2A4A" w:color="auto" w:val="clear"/>
        <w:spacing w:after="0" w:line="240"/>
      </w:pPr>
      <w:r>
        <w:rPr>
          <w:rFonts w:ascii="Consolas" w:cs="Consolas" w:eastAsia="Consolas" w:hAnsi="Consolas"/>
          <w:color w:val="E8ECF3"/>
          <w:sz w:val="16"/>
          <w:szCs w:val="16"/>
        </w:rPr>
        <w:t xml:space="preserve">1. IDENTIFY            Catalog &amp; 10-Dimensional Attack Genome</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2. RED-TEAM GENERATION  Genetic Discovery Engine</w:t>
      </w:r>
    </w:p>
    <w:p>
      <w:pPr>
        <w:shd w:fill="1B2A4A" w:color="auto" w:val="clear"/>
        <w:spacing w:after="0" w:line="240"/>
      </w:pPr>
      <w:r>
        <w:rPr>
          <w:rFonts w:ascii="Consolas" w:cs="Consolas" w:eastAsia="Consolas" w:hAnsi="Consolas"/>
          <w:color w:val="E8ECF3"/>
          <w:sz w:val="16"/>
          <w:szCs w:val="16"/>
        </w:rPr>
        <w:t xml:space="preserve">                         - Mutation, Crossover &amp; Domain Compatibility Rules</w:t>
      </w:r>
    </w:p>
    <w:p>
      <w:pPr>
        <w:shd w:fill="1B2A4A" w:color="auto" w:val="clear"/>
        <w:spacing w:after="0" w:line="240"/>
      </w:pPr>
      <w:r>
        <w:rPr>
          <w:rFonts w:ascii="Consolas" w:cs="Consolas" w:eastAsia="Consolas" w:hAnsi="Consolas"/>
          <w:color w:val="E8ECF3"/>
          <w:sz w:val="16"/>
          <w:szCs w:val="16"/>
        </w:rPr>
        <w:t xml:space="preserve">                         - Multi-Objective Scoring (Novelty, Realism, Evasion)</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3. EVALUATION           Baseline XGBoost Classifier Testing</w:t>
      </w:r>
    </w:p>
    <w:p>
      <w:pPr>
        <w:shd w:fill="1B2A4A" w:color="auto" w:val="clear"/>
        <w:spacing w:after="0" w:line="240"/>
      </w:pPr>
      <w:r>
        <w:rPr>
          <w:rFonts w:ascii="Consolas" w:cs="Consolas" w:eastAsia="Consolas" w:hAnsi="Consolas"/>
          <w:color w:val="E8ECF3"/>
          <w:sz w:val="16"/>
          <w:szCs w:val="16"/>
        </w:rPr>
        <w:t xml:space="preserve">                         - Synthetic Transaction Synthesis via Distributions</w:t>
      </w:r>
    </w:p>
    <w:p>
      <w:pPr>
        <w:shd w:fill="1B2A4A" w:color="auto" w:val="clear"/>
        <w:spacing w:after="0" w:line="240"/>
      </w:pPr>
      <w:r>
        <w:rPr>
          <w:rFonts w:ascii="Consolas" w:cs="Consolas" w:eastAsia="Consolas" w:hAnsi="Consolas"/>
          <w:color w:val="E8ECF3"/>
          <w:sz w:val="16"/>
          <w:szCs w:val="16"/>
        </w:rPr>
        <w:t xml:space="preserve">                         - Granular Per-Vector Detection &amp; Blind Spot Mining</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4. BLUE-TEAM HARDENING  Retraining on Blind Spots</w:t>
      </w:r>
    </w:p>
    <w:p>
      <w:pPr>
        <w:shd w:fill="1B2A4A" w:color="auto" w:val="clear"/>
        <w:spacing w:after="0" w:line="240"/>
      </w:pPr>
      <w:r>
        <w:rPr>
          <w:rFonts w:ascii="Consolas" w:cs="Consolas" w:eastAsia="Consolas" w:hAnsi="Consolas"/>
          <w:color w:val="E8ECF3"/>
          <w:sz w:val="16"/>
          <w:szCs w:val="16"/>
        </w:rPr>
        <w:t xml:space="preserve">                         - Augmented Adversarial Dataset Formulation</w:t>
      </w:r>
    </w:p>
    <w:p>
      <w:pPr>
        <w:shd w:fill="1B2A4A" w:color="auto" w:val="clear"/>
        <w:spacing w:after="0" w:line="240"/>
      </w:pPr>
      <w:r>
        <w:rPr>
          <w:rFonts w:ascii="Consolas" w:cs="Consolas" w:eastAsia="Consolas" w:hAnsi="Consolas"/>
          <w:color w:val="E8ECF3"/>
          <w:sz w:val="16"/>
          <w:szCs w:val="16"/>
        </w:rPr>
        <w:t xml:space="preserve">                         - Feature Dependency Rebalancing</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5. RE-ATTACK BENCHMARK  Unseen Gen-2 Generalization</w:t>
      </w:r>
    </w:p>
    <w:p>
      <w:pPr>
        <w:shd w:fill="1B2A4A" w:color="auto" w:val="clear"/>
        <w:spacing w:after="0" w:line="240"/>
      </w:pPr>
      <w:r>
        <w:rPr>
          <w:rFonts w:ascii="Consolas" w:cs="Consolas" w:eastAsia="Consolas" w:hAnsi="Consolas"/>
          <w:color w:val="E8ECF3"/>
          <w:sz w:val="16"/>
          <w:szCs w:val="16"/>
        </w:rPr>
        <w:t xml:space="preserve">                         - Dataset D (Fresh Seeds, Evolved Gene Combinations)</w:t>
      </w:r>
    </w:p>
    <w:p>
      <w:pPr>
        <w:shd w:fill="1B2A4A" w:color="auto" w:val="clear"/>
        <w:spacing w:after="0" w:line="240"/>
      </w:pPr>
      <w:r>
        <w:rPr>
          <w:rFonts w:ascii="Consolas" w:cs="Consolas" w:eastAsia="Consolas" w:hAnsi="Consolas"/>
          <w:color w:val="E8ECF3"/>
          <w:sz w:val="16"/>
          <w:szCs w:val="16"/>
        </w:rPr>
        <w:t xml:space="preserve">                         - +70.70 pt Recall Gain / 91.9% Fewer Misses</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6. OPERATIONALIZATION   Risk Decision Engine</w:t>
      </w:r>
    </w:p>
    <w:p>
      <w:pPr>
        <w:shd w:fill="1B2A4A" w:color="auto" w:val="clear"/>
        <w:spacing w:after="0" w:line="240"/>
      </w:pPr>
      <w:r>
        <w:rPr>
          <w:rFonts w:ascii="Consolas" w:cs="Consolas" w:eastAsia="Consolas" w:hAnsi="Consolas"/>
          <w:color w:val="E8ECF3"/>
          <w:sz w:val="16"/>
          <w:szCs w:val="16"/>
        </w:rPr>
        <w:t xml:space="preserve">                         - ALLOW / MONITOR / STEP_UP_AUTH / BLOCK</w:t>
      </w:r>
    </w:p>
    <w:p>
      <w:pPr>
        <w:shd w:fill="1B2A4A" w:color="auto" w:val="clear"/>
        <w:spacing w:after="0" w:line="240"/>
      </w:pPr>
      <w:r>
        <w:rPr>
          <w:rFonts w:ascii="Consolas" w:cs="Consolas" w:eastAsia="Consolas" w:hAnsi="Consolas"/>
          <w:color w:val="E8ECF3"/>
          <w:sz w:val="16"/>
          <w:szCs w:val="16"/>
        </w:rPr>
        <w:t xml:space="preserve">                         - Calibrated Probabilities &amp; Transparent Reasons</w:t>
      </w:r>
    </w:p>
    <w:p>
      <w:pPr>
        <w:spacing w:after="200"/>
      </w:pPr>
    </w:p>
    <w:p>
      <w:pPr>
        <w:pStyle w:val="Heading1"/>
        <w:pBdr>
          <w:bottom w:val="single" w:color="1B2A4A" w:sz="8" w:space="4"/>
        </w:pBdr>
        <w:spacing w:after="200" w:before="400"/>
      </w:pPr>
      <w:r>
        <w:rPr>
          <w:b/>
          <w:bCs/>
          <w:color w:val="1B2A4A"/>
          <w:sz w:val="30"/>
          <w:szCs w:val="30"/>
        </w:rPr>
        <w:t xml:space="preserve">4. System Architecture</w:t>
      </w:r>
    </w:p>
    <w:p>
      <w:pPr>
        <w:spacing w:after="180" w:line="276"/>
      </w:pPr>
      <w:r>
        <w:rPr>
          <w:color w:val="222222"/>
          <w:sz w:val="21"/>
          <w:szCs w:val="21"/>
        </w:rPr>
        <w:t xml:space="preserve">The FraudForge AI codebase is organized into decoupled layers separating core ML mathematics, synthetic generation, API services, and user interfaces:</w:t>
      </w:r>
    </w:p>
    <w:p>
      <w:pPr>
        <w:shd w:fill="1B2A4A" w:color="auto" w:val="clear"/>
        <w:spacing w:after="0" w:line="240"/>
      </w:pPr>
      <w:r>
        <w:rPr>
          <w:rFonts w:ascii="Consolas" w:cs="Consolas" w:eastAsia="Consolas" w:hAnsi="Consolas"/>
          <w:color w:val="E8ECF3"/>
          <w:sz w:val="16"/>
          <w:szCs w:val="16"/>
        </w:rPr>
        <w:t xml:space="preserve">FraudForge-AI/</w:t>
      </w:r>
    </w:p>
    <w:p>
      <w:pPr>
        <w:shd w:fill="1B2A4A" w:color="auto" w:val="clear"/>
        <w:spacing w:after="0" w:line="240"/>
      </w:pPr>
      <w:r>
        <w:rPr>
          <w:rFonts w:ascii="Consolas" w:cs="Consolas" w:eastAsia="Consolas" w:hAnsi="Consolas"/>
          <w:color w:val="E8ECF3"/>
          <w:sz w:val="16"/>
          <w:szCs w:val="16"/>
        </w:rPr>
        <w:t xml:space="preserve">├── src/</w:t>
      </w:r>
    </w:p>
    <w:p>
      <w:pPr>
        <w:shd w:fill="1B2A4A" w:color="auto" w:val="clear"/>
        <w:spacing w:after="0" w:line="240"/>
      </w:pPr>
      <w:r>
        <w:rPr>
          <w:rFonts w:ascii="Consolas" w:cs="Consolas" w:eastAsia="Consolas" w:hAnsi="Consolas"/>
          <w:color w:val="E8ECF3"/>
          <w:sz w:val="16"/>
          <w:szCs w:val="16"/>
        </w:rPr>
        <w:t xml:space="preserve">│   ├── attacks/                    Red-Team Attack Intelligence</w:t>
      </w:r>
    </w:p>
    <w:p>
      <w:pPr>
        <w:shd w:fill="1B2A4A" w:color="auto" w:val="clear"/>
        <w:spacing w:after="0" w:line="240"/>
      </w:pPr>
      <w:r>
        <w:rPr>
          <w:rFonts w:ascii="Consolas" w:cs="Consolas" w:eastAsia="Consolas" w:hAnsi="Consolas"/>
          <w:color w:val="E8ECF3"/>
          <w:sz w:val="16"/>
          <w:szCs w:val="16"/>
        </w:rPr>
        <w:t xml:space="preserve">│   │   ├── attack_library.py       28 Cataloged Archetypes &amp; Query Interface</w:t>
      </w:r>
    </w:p>
    <w:p>
      <w:pPr>
        <w:shd w:fill="1B2A4A" w:color="auto" w:val="clear"/>
        <w:spacing w:after="0" w:line="240"/>
      </w:pPr>
      <w:r>
        <w:rPr>
          <w:rFonts w:ascii="Consolas" w:cs="Consolas" w:eastAsia="Consolas" w:hAnsi="Consolas"/>
          <w:color w:val="E8ECF3"/>
          <w:sz w:val="16"/>
          <w:szCs w:val="16"/>
        </w:rPr>
        <w:t xml:space="preserve">│   │   ├── attack_genome.py        10-Dimensional Genome Vocabulary &amp; Mappings</w:t>
      </w:r>
    </w:p>
    <w:p>
      <w:pPr>
        <w:shd w:fill="1B2A4A" w:color="auto" w:val="clear"/>
        <w:spacing w:after="0" w:line="240"/>
      </w:pPr>
      <w:r>
        <w:rPr>
          <w:rFonts w:ascii="Consolas" w:cs="Consolas" w:eastAsia="Consolas" w:hAnsi="Consolas"/>
          <w:color w:val="E8ECF3"/>
          <w:sz w:val="16"/>
          <w:szCs w:val="16"/>
        </w:rPr>
        <w:t xml:space="preserve">│   │   ├── novelty_engine.py       Multi-Objective Scoring (Novelty, Realism, Evasion)</w:t>
      </w:r>
    </w:p>
    <w:p>
      <w:pPr>
        <w:shd w:fill="1B2A4A" w:color="auto" w:val="clear"/>
        <w:spacing w:after="0" w:line="240"/>
      </w:pPr>
      <w:r>
        <w:rPr>
          <w:rFonts w:ascii="Consolas" w:cs="Consolas" w:eastAsia="Consolas" w:hAnsi="Consolas"/>
          <w:color w:val="E8ECF3"/>
          <w:sz w:val="16"/>
          <w:szCs w:val="16"/>
        </w:rPr>
        <w:t xml:space="preserve">│   │   ├── attack_discovery.py     Genetic Discovery Engine &amp; Simulator Integration</w:t>
      </w:r>
    </w:p>
    <w:p>
      <w:pPr>
        <w:shd w:fill="1B2A4A" w:color="auto" w:val="clear"/>
        <w:spacing w:after="0" w:line="240"/>
      </w:pPr>
      <w:r>
        <w:rPr>
          <w:rFonts w:ascii="Consolas" w:cs="Consolas" w:eastAsia="Consolas" w:hAnsi="Consolas"/>
          <w:color w:val="E8ECF3"/>
          <w:sz w:val="16"/>
          <w:szCs w:val="16"/>
        </w:rPr>
        <w:t xml:space="preserve">│   │   └── attack_mutator.py       Targeted Perturbation &amp; Signal Masking Engine</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   ├── simulation/                 Synthetic Payment Simulation</w:t>
      </w:r>
    </w:p>
    <w:p>
      <w:pPr>
        <w:shd w:fill="1B2A4A" w:color="auto" w:val="clear"/>
        <w:spacing w:after="0" w:line="240"/>
      </w:pPr>
      <w:r>
        <w:rPr>
          <w:rFonts w:ascii="Consolas" w:cs="Consolas" w:eastAsia="Consolas" w:hAnsi="Consolas"/>
          <w:color w:val="E8ECF3"/>
          <w:sz w:val="16"/>
          <w:szCs w:val="16"/>
        </w:rPr>
        <w:t xml:space="preserve">│   │   ├── distributions.py        Diurnal curves, Pareto tails &amp; category risk priors</w:t>
      </w:r>
    </w:p>
    <w:p>
      <w:pPr>
        <w:shd w:fill="1B2A4A" w:color="auto" w:val="clear"/>
        <w:spacing w:after="0" w:line="240"/>
      </w:pPr>
      <w:r>
        <w:rPr>
          <w:rFonts w:ascii="Consolas" w:cs="Consolas" w:eastAsia="Consolas" w:hAnsi="Consolas"/>
          <w:color w:val="E8ECF3"/>
          <w:sz w:val="16"/>
          <w:szCs w:val="16"/>
        </w:rPr>
        <w:t xml:space="preserve">│   │   └── transaction_generator.py  22-Feature Statistical Transaction Generator</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   ├── features/                   Preprocessing &amp; Transformations</w:t>
      </w:r>
    </w:p>
    <w:p>
      <w:pPr>
        <w:shd w:fill="1B2A4A" w:color="auto" w:val="clear"/>
        <w:spacing w:after="0" w:line="240"/>
      </w:pPr>
      <w:r>
        <w:rPr>
          <w:rFonts w:ascii="Consolas" w:cs="Consolas" w:eastAsia="Consolas" w:hAnsi="Consolas"/>
          <w:color w:val="E8ECF3"/>
          <w:sz w:val="16"/>
          <w:szCs w:val="16"/>
        </w:rPr>
        <w:t xml:space="preserve">│   │   └── feature_engineering.py  RobustScaler, OneHotEncoder &amp; Pipeline Artifacts</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   ├── detection/                  Blue-Team Machine Learning Detectors</w:t>
      </w:r>
    </w:p>
    <w:p>
      <w:pPr>
        <w:shd w:fill="1B2A4A" w:color="auto" w:val="clear"/>
        <w:spacing w:after="0" w:line="240"/>
      </w:pPr>
      <w:r>
        <w:rPr>
          <w:rFonts w:ascii="Consolas" w:cs="Consolas" w:eastAsia="Consolas" w:hAnsi="Consolas"/>
          <w:color w:val="E8ECF3"/>
          <w:sz w:val="16"/>
          <w:szCs w:val="16"/>
        </w:rPr>
        <w:t xml:space="preserve">│   │   ├── train.py                Baseline XGBoost Classifier Training</w:t>
      </w:r>
    </w:p>
    <w:p>
      <w:pPr>
        <w:shd w:fill="1B2A4A" w:color="auto" w:val="clear"/>
        <w:spacing w:after="0" w:line="240"/>
      </w:pPr>
      <w:r>
        <w:rPr>
          <w:rFonts w:ascii="Consolas" w:cs="Consolas" w:eastAsia="Consolas" w:hAnsi="Consolas"/>
          <w:color w:val="E8ECF3"/>
          <w:sz w:val="16"/>
          <w:szCs w:val="16"/>
        </w:rPr>
        <w:t xml:space="preserve">│   │   ├── predict.py              Real-Time Scoring &amp; Inference</w:t>
      </w:r>
    </w:p>
    <w:p>
      <w:pPr>
        <w:shd w:fill="1B2A4A" w:color="auto" w:val="clear"/>
        <w:spacing w:after="0" w:line="240"/>
      </w:pPr>
      <w:r>
        <w:rPr>
          <w:rFonts w:ascii="Consolas" w:cs="Consolas" w:eastAsia="Consolas" w:hAnsi="Consolas"/>
          <w:color w:val="E8ECF3"/>
          <w:sz w:val="16"/>
          <w:szCs w:val="16"/>
        </w:rPr>
        <w:t xml:space="preserve">│   │   ├── evaluate.py             Granular Per-Attack Recall Analytics</w:t>
      </w:r>
    </w:p>
    <w:p>
      <w:pPr>
        <w:shd w:fill="1B2A4A" w:color="auto" w:val="clear"/>
        <w:spacing w:after="0" w:line="240"/>
      </w:pPr>
      <w:r>
        <w:rPr>
          <w:rFonts w:ascii="Consolas" w:cs="Consolas" w:eastAsia="Consolas" w:hAnsi="Consolas"/>
          <w:color w:val="E8ECF3"/>
          <w:sz w:val="16"/>
          <w:szCs w:val="16"/>
        </w:rPr>
        <w:t xml:space="preserve">│   │   ├── risk_engine.py          Multi-Tier Policy Engine &amp; Reason Code Generator</w:t>
      </w:r>
    </w:p>
    <w:p>
      <w:pPr>
        <w:shd w:fill="1B2A4A" w:color="auto" w:val="clear"/>
        <w:spacing w:after="0" w:line="240"/>
      </w:pPr>
      <w:r>
        <w:rPr>
          <w:rFonts w:ascii="Consolas" w:cs="Consolas" w:eastAsia="Consolas" w:hAnsi="Consolas"/>
          <w:color w:val="E8ECF3"/>
          <w:sz w:val="16"/>
          <w:szCs w:val="16"/>
        </w:rPr>
        <w:t xml:space="preserve">│   │   ├── threshold_analysis.py   Cost-Curve Sweeps &amp; ECE Calibration Auditing</w:t>
      </w:r>
    </w:p>
    <w:p>
      <w:pPr>
        <w:shd w:fill="1B2A4A" w:color="auto" w:val="clear"/>
        <w:spacing w:after="0" w:line="240"/>
      </w:pPr>
      <w:r>
        <w:rPr>
          <w:rFonts w:ascii="Consolas" w:cs="Consolas" w:eastAsia="Consolas" w:hAnsi="Consolas"/>
          <w:color w:val="E8ECF3"/>
          <w:sz w:val="16"/>
          <w:szCs w:val="16"/>
        </w:rPr>
        <w:t xml:space="preserve">│   │   ├── mitigation.py           Automated Payment Mitigation Actions</w:t>
      </w:r>
    </w:p>
    <w:p>
      <w:pPr>
        <w:shd w:fill="1B2A4A" w:color="auto" w:val="clear"/>
        <w:spacing w:after="0" w:line="240"/>
      </w:pPr>
      <w:r>
        <w:rPr>
          <w:rFonts w:ascii="Consolas" w:cs="Consolas" w:eastAsia="Consolas" w:hAnsi="Consolas"/>
          <w:color w:val="E8ECF3"/>
          <w:sz w:val="16"/>
          <w:szCs w:val="16"/>
        </w:rPr>
        <w:t xml:space="preserve">│   │   └── audit_logger.py         Structured JSONL / CSV Audit Logging</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   ├── adversarial/                Closed-Loop Feedback &amp; Hardening</w:t>
      </w:r>
    </w:p>
    <w:p>
      <w:pPr>
        <w:shd w:fill="1B2A4A" w:color="auto" w:val="clear"/>
        <w:spacing w:after="0" w:line="240"/>
      </w:pPr>
      <w:r>
        <w:rPr>
          <w:rFonts w:ascii="Consolas" w:cs="Consolas" w:eastAsia="Consolas" w:hAnsi="Consolas"/>
          <w:color w:val="E8ECF3"/>
          <w:sz w:val="16"/>
          <w:szCs w:val="16"/>
        </w:rPr>
        <w:t xml:space="preserve">│   │   ├── feedback_loop.py        3-Dataset Adversarial Hardening Pipeline</w:t>
      </w:r>
    </w:p>
    <w:p>
      <w:pPr>
        <w:shd w:fill="1B2A4A" w:color="auto" w:val="clear"/>
        <w:spacing w:after="0" w:line="240"/>
      </w:pPr>
      <w:r>
        <w:rPr>
          <w:rFonts w:ascii="Consolas" w:cs="Consolas" w:eastAsia="Consolas" w:hAnsi="Consolas"/>
          <w:color w:val="E8ECF3"/>
          <w:sz w:val="16"/>
          <w:szCs w:val="16"/>
        </w:rPr>
        <w:t xml:space="preserve">│   │   └── zero_day_hardening.py   Zero-Day Retraining &amp; Gen-2 Benchmark Evaluation</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   ├── api/                        Production-Style REST API Layer</w:t>
      </w:r>
    </w:p>
    <w:p>
      <w:pPr>
        <w:shd w:fill="1B2A4A" w:color="auto" w:val="clear"/>
        <w:spacing w:after="0" w:line="240"/>
      </w:pPr>
      <w:r>
        <w:rPr>
          <w:rFonts w:ascii="Consolas" w:cs="Consolas" w:eastAsia="Consolas" w:hAnsi="Consolas"/>
          <w:color w:val="E8ECF3"/>
          <w:sz w:val="16"/>
          <w:szCs w:val="16"/>
        </w:rPr>
        <w:t xml:space="preserve">│   │   ├── app.py                  FastAPI Application &amp; CORS Configuration</w:t>
      </w:r>
    </w:p>
    <w:p>
      <w:pPr>
        <w:shd w:fill="1B2A4A" w:color="auto" w:val="clear"/>
        <w:spacing w:after="0" w:line="240"/>
      </w:pPr>
      <w:r>
        <w:rPr>
          <w:rFonts w:ascii="Consolas" w:cs="Consolas" w:eastAsia="Consolas" w:hAnsi="Consolas"/>
          <w:color w:val="E8ECF3"/>
          <w:sz w:val="16"/>
          <w:szCs w:val="16"/>
        </w:rPr>
        <w:t xml:space="preserve">│   │   ├── schemas.py              Pydantic Schemas for Strict Input/Output Validation</w:t>
      </w:r>
    </w:p>
    <w:p>
      <w:pPr>
        <w:shd w:fill="1B2A4A" w:color="auto" w:val="clear"/>
        <w:spacing w:after="0" w:line="240"/>
      </w:pPr>
      <w:r>
        <w:rPr>
          <w:rFonts w:ascii="Consolas" w:cs="Consolas" w:eastAsia="Consolas" w:hAnsi="Consolas"/>
          <w:color w:val="E8ECF3"/>
          <w:sz w:val="16"/>
          <w:szCs w:val="16"/>
        </w:rPr>
        <w:t xml:space="preserve">│   │   └── routes/                 Modular Endpoints (catalog, discovery, hardening, risk)</w:t>
      </w:r>
    </w:p>
    <w:p>
      <w:pPr>
        <w:shd w:fill="1B2A4A" w:color="auto" w:val="clear"/>
        <w:spacing w:after="0" w:line="240"/>
      </w:pPr>
      <w:r>
        <w:rPr>
          <w:rFonts w:ascii="Consolas" w:cs="Consolas" w:eastAsia="Consolas" w:hAnsi="Consolas"/>
          <w:color w:val="E8ECF3"/>
          <w:sz w:val="16"/>
          <w:szCs w:val="16"/>
        </w:rPr>
        <w:t xml:space="preserve">│   │</w:t>
      </w:r>
    </w:p>
    <w:p>
      <w:pPr>
        <w:shd w:fill="1B2A4A" w:color="auto" w:val="clear"/>
        <w:spacing w:after="0" w:line="240"/>
      </w:pPr>
      <w:r>
        <w:rPr>
          <w:rFonts w:ascii="Consolas" w:cs="Consolas" w:eastAsia="Consolas" w:hAnsi="Consolas"/>
          <w:color w:val="E8ECF3"/>
          <w:sz w:val="16"/>
          <w:szCs w:val="16"/>
        </w:rPr>
        <w:t xml:space="preserve">│   └── utils/</w:t>
      </w:r>
    </w:p>
    <w:p>
      <w:pPr>
        <w:shd w:fill="1B2A4A" w:color="auto" w:val="clear"/>
        <w:spacing w:after="0" w:line="240"/>
      </w:pPr>
      <w:r>
        <w:rPr>
          <w:rFonts w:ascii="Consolas" w:cs="Consolas" w:eastAsia="Consolas" w:hAnsi="Consolas"/>
          <w:color w:val="E8ECF3"/>
          <w:sz w:val="16"/>
          <w:szCs w:val="16"/>
        </w:rPr>
        <w:t xml:space="preserve">│       └── config.py               Global Constants, Schema Definitions &amp; File Paths</w:t>
      </w:r>
    </w:p>
    <w:p>
      <w:pPr>
        <w:shd w:fill="1B2A4A" w:color="auto" w:val="clear"/>
        <w:spacing w:after="0" w:line="240"/>
      </w:pPr>
      <w:r>
        <w:rPr>
          <w:rFonts w:ascii="Consolas" w:cs="Consolas" w:eastAsia="Consolas" w:hAnsi="Consolas"/>
          <w:color w:val="E8ECF3"/>
          <w:sz w:val="16"/>
          <w:szCs w:val="16"/>
        </w:rPr>
        <w:t xml:space="preserve">│</w:t>
      </w:r>
    </w:p>
    <w:p>
      <w:pPr>
        <w:shd w:fill="1B2A4A" w:color="auto" w:val="clear"/>
        <w:spacing w:after="0" w:line="240"/>
      </w:pPr>
      <w:r>
        <w:rPr>
          <w:rFonts w:ascii="Consolas" w:cs="Consolas" w:eastAsia="Consolas" w:hAnsi="Consolas"/>
          <w:color w:val="E8ECF3"/>
          <w:sz w:val="16"/>
          <w:szCs w:val="16"/>
        </w:rPr>
        <w:t xml:space="preserve">├── frontend/</w:t>
      </w:r>
    </w:p>
    <w:p>
      <w:pPr>
        <w:shd w:fill="1B2A4A" w:color="auto" w:val="clear"/>
        <w:spacing w:after="0" w:line="240"/>
      </w:pPr>
      <w:r>
        <w:rPr>
          <w:rFonts w:ascii="Consolas" w:cs="Consolas" w:eastAsia="Consolas" w:hAnsi="Consolas"/>
          <w:color w:val="E8ECF3"/>
          <w:sz w:val="16"/>
          <w:szCs w:val="16"/>
        </w:rPr>
        <w:t xml:space="preserve">│   └── index.html                  Single-Page Enterprise Security Dashboard</w:t>
      </w:r>
    </w:p>
    <w:p>
      <w:pPr>
        <w:shd w:fill="1B2A4A" w:color="auto" w:val="clear"/>
        <w:spacing w:after="0" w:line="240"/>
      </w:pPr>
      <w:r>
        <w:rPr>
          <w:rFonts w:ascii="Consolas" w:cs="Consolas" w:eastAsia="Consolas" w:hAnsi="Consolas"/>
          <w:color w:val="E8ECF3"/>
          <w:sz w:val="16"/>
          <w:szCs w:val="16"/>
        </w:rPr>
        <w:t xml:space="preserve">│</w:t>
      </w:r>
    </w:p>
    <w:p>
      <w:pPr>
        <w:shd w:fill="1B2A4A" w:color="auto" w:val="clear"/>
        <w:spacing w:after="0" w:line="240"/>
      </w:pPr>
      <w:r>
        <w:rPr>
          <w:rFonts w:ascii="Consolas" w:cs="Consolas" w:eastAsia="Consolas" w:hAnsi="Consolas"/>
          <w:color w:val="E8ECF3"/>
          <w:sz w:val="16"/>
          <w:szCs w:val="16"/>
        </w:rPr>
        <w:t xml:space="preserve">├── models/                         Serialized ML Artifacts (.joblib)</w:t>
      </w:r>
    </w:p>
    <w:p>
      <w:pPr>
        <w:shd w:fill="1B2A4A" w:color="auto" w:val="clear"/>
        <w:spacing w:after="0" w:line="240"/>
      </w:pPr>
      <w:r>
        <w:rPr>
          <w:rFonts w:ascii="Consolas" w:cs="Consolas" w:eastAsia="Consolas" w:hAnsi="Consolas"/>
          <w:color w:val="E8ECF3"/>
          <w:sz w:val="16"/>
          <w:szCs w:val="16"/>
        </w:rPr>
        <w:t xml:space="preserve">├── experiments/                    Verified Empirical Benchmark JSON / CSV Reports</w:t>
      </w:r>
    </w:p>
    <w:p>
      <w:pPr>
        <w:shd w:fill="1B2A4A" w:color="auto" w:val="clear"/>
        <w:spacing w:after="0" w:line="240"/>
      </w:pPr>
      <w:r>
        <w:rPr>
          <w:rFonts w:ascii="Consolas" w:cs="Consolas" w:eastAsia="Consolas" w:hAnsi="Consolas"/>
          <w:color w:val="E8ECF3"/>
          <w:sz w:val="16"/>
          <w:szCs w:val="16"/>
        </w:rPr>
        <w:t xml:space="preserve">└── tests/                          72 Unit &amp; Integration Tests (100% Passing)</w:t>
      </w:r>
    </w:p>
    <w:p>
      <w:pPr>
        <w:spacing w:after="200"/>
      </w:pPr>
    </w:p>
    <w:p>
      <w:pPr>
        <w:pStyle w:val="Heading1"/>
        <w:pBdr>
          <w:bottom w:val="single" w:color="1B2A4A" w:sz="8" w:space="4"/>
        </w:pBdr>
        <w:spacing w:after="200" w:before="400"/>
      </w:pPr>
      <w:r>
        <w:rPr>
          <w:b/>
          <w:bCs/>
          <w:color w:val="1B2A4A"/>
          <w:sz w:val="30"/>
          <w:szCs w:val="30"/>
        </w:rPr>
        <w:t xml:space="preserve">5. Machine Learning Methodology &amp; Feature Pipeline</w:t>
      </w:r>
    </w:p>
    <w:p>
      <w:pPr>
        <w:pStyle w:val="Heading2"/>
        <w:spacing w:after="160" w:before="320"/>
      </w:pPr>
      <w:r>
        <w:rPr>
          <w:b/>
          <w:bCs/>
          <w:color w:val="8E2418"/>
          <w:sz w:val="24"/>
          <w:szCs w:val="24"/>
        </w:rPr>
        <w:t xml:space="preserve">5.1 Synthetic Dataset Design (22 Features)</w:t>
      </w:r>
    </w:p>
    <w:p>
      <w:pPr>
        <w:spacing w:after="180" w:line="276"/>
      </w:pPr>
      <w:r>
        <w:rPr>
          <w:color w:val="222222"/>
          <w:sz w:val="21"/>
          <w:szCs w:val="21"/>
        </w:rPr>
        <w:t xml:space="preserve">The simulation pipeline synthesizes correlated multi-modal transaction records: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3400"/>
        <w:gridCol w:w="3800"/>
      </w:tblGrid>
      <w:tr>
        <w:trPr>
          <w:tblHeader/>
        </w:trPr>
        <w:tc>
          <w:tcPr>
            <w:tcW w:type="dxa" w:w="1700"/>
            <w:shd w:fill="1B2A4A" w:color="auto" w:val="clear"/>
            <w:tcMar>
              <w:top w:type="dxa" w:w="80"/>
              <w:left w:type="dxa" w:w="100"/>
              <w:bottom w:type="dxa" w:w="80"/>
              <w:right w:type="dxa" w:w="100"/>
            </w:tcMar>
            <w:vAlign w:val="center"/>
          </w:tcPr>
          <w:p>
            <w:pPr>
              <w:jc w:val="center"/>
            </w:pPr>
            <w:r>
              <w:rPr>
                <w:b/>
                <w:bCs/>
                <w:color w:val="FFFFFF"/>
                <w:sz w:val="19"/>
                <w:szCs w:val="19"/>
              </w:rPr>
              <w:t xml:space="preserve">Feature Category</w:t>
            </w:r>
          </w:p>
        </w:tc>
        <w:tc>
          <w:tcPr>
            <w:tcW w:type="dxa" w:w="600"/>
            <w:shd w:fill="1B2A4A" w:color="auto" w:val="clear"/>
            <w:tcMar>
              <w:top w:type="dxa" w:w="80"/>
              <w:left w:type="dxa" w:w="100"/>
              <w:bottom w:type="dxa" w:w="80"/>
              <w:right w:type="dxa" w:w="100"/>
            </w:tcMar>
            <w:vAlign w:val="center"/>
          </w:tcPr>
          <w:p>
            <w:pPr>
              <w:jc w:val="center"/>
            </w:pPr>
            <w:r>
              <w:rPr>
                <w:b/>
                <w:bCs/>
                <w:color w:val="FFFFFF"/>
                <w:sz w:val="19"/>
                <w:szCs w:val="19"/>
              </w:rPr>
              <w:t xml:space="preserve">Dim.</w:t>
            </w:r>
          </w:p>
        </w:tc>
        <w:tc>
          <w:tcPr>
            <w:tcW w:type="dxa" w:w="3400"/>
            <w:shd w:fill="1B2A4A" w:color="auto" w:val="clear"/>
            <w:tcMar>
              <w:top w:type="dxa" w:w="80"/>
              <w:left w:type="dxa" w:w="100"/>
              <w:bottom w:type="dxa" w:w="80"/>
              <w:right w:type="dxa" w:w="100"/>
            </w:tcMar>
            <w:vAlign w:val="center"/>
          </w:tcPr>
          <w:p>
            <w:pPr>
              <w:jc w:val="center"/>
            </w:pPr>
            <w:r>
              <w:rPr>
                <w:b/>
                <w:bCs/>
                <w:color w:val="FFFFFF"/>
                <w:sz w:val="19"/>
                <w:szCs w:val="19"/>
              </w:rPr>
              <w:t xml:space="preserve">Feature Names</w:t>
            </w:r>
          </w:p>
        </w:tc>
        <w:tc>
          <w:tcPr>
            <w:tcW w:type="dxa" w:w="3800"/>
            <w:shd w:fill="1B2A4A" w:color="auto" w:val="clear"/>
            <w:tcMar>
              <w:top w:type="dxa" w:w="80"/>
              <w:left w:type="dxa" w:w="100"/>
              <w:bottom w:type="dxa" w:w="80"/>
              <w:right w:type="dxa" w:w="100"/>
            </w:tcMar>
            <w:vAlign w:val="center"/>
          </w:tcPr>
          <w:p>
            <w:pPr>
              <w:jc w:val="center"/>
            </w:pPr>
            <w:r>
              <w:rPr>
                <w:b/>
                <w:bCs/>
                <w:color w:val="FFFFFF"/>
                <w:sz w:val="19"/>
                <w:szCs w:val="19"/>
              </w:rPr>
              <w:t xml:space="preserve">Description &amp; Distribution</w:t>
            </w:r>
          </w:p>
        </w:tc>
      </w:tr>
      <w:tr>
        <w:tc>
          <w:tcPr>
            <w:tcW w:type="dxa" w:w="17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Financial</w:t>
            </w:r>
          </w:p>
        </w:tc>
        <w:tc>
          <w:tcPr>
            <w:tcW w:type="dxa" w:w="6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3</w:t>
            </w:r>
          </w:p>
        </w:tc>
        <w:tc>
          <w:tcPr>
            <w:tcW w:type="dxa" w:w="3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transaction_amount, average_customer_amount, amount_deviation</w:t>
            </w:r>
          </w:p>
        </w:tc>
        <w:tc>
          <w:tcPr>
            <w:tcW w:type="dxa" w:w="3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Log-normal spending with Pareto heavy tails; relative spending ratios</w:t>
            </w:r>
          </w:p>
        </w:tc>
      </w:tr>
      <w:tr>
        <w:tc>
          <w:tcPr>
            <w:tcW w:type="dxa" w:w="17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Temporal</w:t>
            </w:r>
          </w:p>
        </w:tc>
        <w:tc>
          <w:tcPr>
            <w:tcW w:type="dxa" w:w="6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3</w:t>
            </w:r>
          </w:p>
        </w:tc>
        <w:tc>
          <w:tcPr>
            <w:tcW w:type="dxa" w:w="3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transaction_hour, transaction_velocity_1h, transaction_velocity_24h</w:t>
            </w:r>
          </w:p>
        </w:tc>
        <w:tc>
          <w:tcPr>
            <w:tcW w:type="dxa" w:w="3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Diurnal transaction frequencies; sliding-window burst rates</w:t>
            </w:r>
          </w:p>
        </w:tc>
      </w:tr>
      <w:tr>
        <w:tc>
          <w:tcPr>
            <w:tcW w:type="dxa" w:w="17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Device &amp; Network</w:t>
            </w:r>
          </w:p>
        </w:tc>
        <w:tc>
          <w:tcPr>
            <w:tcW w:type="dxa" w:w="6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4</w:t>
            </w:r>
          </w:p>
        </w:tc>
        <w:tc>
          <w:tcPr>
            <w:tcW w:type="dxa" w:w="3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account_age_days, device_age_days, device_change, IP_risk_score</w:t>
            </w:r>
          </w:p>
        </w:tc>
        <w:tc>
          <w:tcPr>
            <w:tcW w:type="dxa" w:w="3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Hardware registration lifespan; IP reputation priors</w:t>
            </w:r>
          </w:p>
        </w:tc>
      </w:tr>
      <w:tr>
        <w:tc>
          <w:tcPr>
            <w:tcW w:type="dxa" w:w="17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Merchant &amp; Channel</w:t>
            </w:r>
          </w:p>
        </w:tc>
        <w:tc>
          <w:tcPr>
            <w:tcW w:type="dxa" w:w="6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2</w:t>
            </w:r>
          </w:p>
        </w:tc>
        <w:tc>
          <w:tcPr>
            <w:tcW w:type="dxa" w:w="3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merchant_category, payment_channel</w:t>
            </w:r>
          </w:p>
        </w:tc>
        <w:tc>
          <w:tcPr>
            <w:tcW w:type="dxa" w:w="3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Categorical surface mappings (12 merchant types, 7 payment channels)</w:t>
            </w:r>
          </w:p>
        </w:tc>
      </w:tr>
      <w:tr>
        <w:tc>
          <w:tcPr>
            <w:tcW w:type="dxa" w:w="17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Identity &amp; Auth</w:t>
            </w:r>
          </w:p>
        </w:tc>
        <w:tc>
          <w:tcPr>
            <w:tcW w:type="dxa" w:w="6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4</w:t>
            </w:r>
          </w:p>
        </w:tc>
        <w:tc>
          <w:tcPr>
            <w:tcW w:type="dxa" w:w="3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identity_risk_score, behavioral_deviation, failed_authentication_count, authentication_method</w:t>
            </w:r>
          </w:p>
        </w:tc>
        <w:tc>
          <w:tcPr>
            <w:tcW w:type="dxa" w:w="3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KYC/synthetic identity indicators; biometric timing cadence anomalies</w:t>
            </w:r>
          </w:p>
        </w:tc>
      </w:tr>
      <w:tr>
        <w:tc>
          <w:tcPr>
            <w:tcW w:type="dxa" w:w="17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Geographic</w:t>
            </w:r>
          </w:p>
        </w:tc>
        <w:tc>
          <w:tcPr>
            <w:tcW w:type="dxa" w:w="6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4</w:t>
            </w:r>
          </w:p>
        </w:tc>
        <w:tc>
          <w:tcPr>
            <w:tcW w:type="dxa" w:w="3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geographic_deviation, transaction_country, customer_country, merchant_risk_score</w:t>
            </w:r>
          </w:p>
        </w:tc>
        <w:tc>
          <w:tcPr>
            <w:tcW w:type="dxa" w:w="3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Cross-border location mismatches; corridor risk priors</w:t>
            </w:r>
          </w:p>
        </w:tc>
      </w:tr>
      <w:tr>
        <w:tc>
          <w:tcPr>
            <w:tcW w:type="dxa" w:w="17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Ground Truth</w:t>
            </w:r>
          </w:p>
        </w:tc>
        <w:tc>
          <w:tcPr>
            <w:tcW w:type="dxa" w:w="6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2</w:t>
            </w:r>
          </w:p>
        </w:tc>
        <w:tc>
          <w:tcPr>
            <w:tcW w:type="dxa" w:w="3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fraud_label, attack_type</w:t>
            </w:r>
          </w:p>
        </w:tc>
        <w:tc>
          <w:tcPr>
            <w:tcW w:type="dxa" w:w="3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Binary classification target (y ∈ {0,1}) and archetype label</w:t>
            </w:r>
          </w:p>
        </w:tc>
      </w:tr>
    </w:tbl>
    <w:p>
      <w:pPr>
        <w:spacing w:after="160"/>
      </w:pPr>
    </w:p>
    <w:p>
      <w:pPr>
        <w:pStyle w:val="Heading2"/>
        <w:spacing w:after="160" w:before="320"/>
      </w:pPr>
      <w:r>
        <w:rPr>
          <w:b/>
          <w:bCs/>
          <w:color w:val="8E2418"/>
          <w:sz w:val="24"/>
          <w:szCs w:val="24"/>
        </w:rPr>
        <w:t xml:space="preserve">5.2 Preprocessing &amp; Robust Transformation</w:t>
      </w:r>
    </w:p>
    <w:p>
      <w:pPr>
        <w:spacing w:after="180" w:line="276"/>
      </w:pPr>
      <w:r>
        <w:rPr>
          <w:color w:val="222222"/>
          <w:sz w:val="21"/>
          <w:szCs w:val="21"/>
        </w:rPr>
        <w:t xml:space="preserve">Features undergo deterministic preprocessing via FraudFeaturePipeline (src/features/feature_engineering.py):</w:t>
      </w:r>
    </w:p>
    <w:p>
      <w:pPr>
        <w:pStyle w:val="ListParagraph"/>
        <w:numPr>
          <w:ilvl w:val="0"/>
          <w:numId w:val="2"/>
        </w:numPr>
        <w:spacing w:after="90"/>
      </w:pPr>
      <w:r>
        <w:rPr>
          <w:b/>
          <w:bCs/>
          <w:sz w:val="21"/>
          <w:szCs w:val="21"/>
        </w:rPr>
        <w:t xml:space="preserve">Numerical Scaling: </w:t>
      </w:r>
      <w:r>
        <w:rPr>
          <w:sz w:val="21"/>
          <w:szCs w:val="21"/>
        </w:rPr>
        <w:t xml:space="preserve">RobustScaler scales features using median and interquartile range (IQR), preventing extreme outlier dollar amounts from distorting gradient calculations: x_scaled = (x − median(x)) / IQR(x).</w:t>
      </w:r>
    </w:p>
    <w:p>
      <w:pPr>
        <w:pStyle w:val="ListParagraph"/>
        <w:numPr>
          <w:ilvl w:val="0"/>
          <w:numId w:val="2"/>
        </w:numPr>
        <w:spacing w:after="90"/>
      </w:pPr>
      <w:r>
        <w:rPr>
          <w:b/>
          <w:bCs/>
          <w:sz w:val="21"/>
          <w:szCs w:val="21"/>
        </w:rPr>
        <w:t xml:space="preserve">Categorical Encoding: </w:t>
      </w:r>
      <w:r>
        <w:rPr>
          <w:sz w:val="21"/>
          <w:szCs w:val="21"/>
        </w:rPr>
        <w:t xml:space="preserve">OneHotEncoder(handle_unknown='ignore', sparse_output=False) encodes non-ordinal strings (merchant_category, payment_channel, authentication_method, transaction_country, customer_country).</w:t>
      </w:r>
    </w:p>
    <w:p>
      <w:pPr>
        <w:pStyle w:val="ListParagraph"/>
        <w:numPr>
          <w:ilvl w:val="0"/>
          <w:numId w:val="2"/>
        </w:numPr>
        <w:spacing w:after="90"/>
      </w:pPr>
      <w:r>
        <w:rPr>
          <w:b/>
          <w:bCs/>
          <w:sz w:val="21"/>
          <w:szCs w:val="21"/>
        </w:rPr>
        <w:t xml:space="preserve">Feature Count: </w:t>
      </w:r>
      <w:r>
        <w:rPr>
          <w:sz w:val="21"/>
          <w:szCs w:val="21"/>
        </w:rPr>
        <w:t xml:space="preserve">Transformed feature vector expands to 53 numerical dimensions for gradient-boosted trees.</w:t>
      </w:r>
    </w:p>
    <w:p>
      <w:pPr>
        <w:pStyle w:val="Heading2"/>
        <w:spacing w:after="160" w:before="320"/>
      </w:pPr>
      <w:r>
        <w:rPr>
          <w:b/>
          <w:bCs/>
          <w:color w:val="8E2418"/>
          <w:sz w:val="24"/>
          <w:szCs w:val="24"/>
        </w:rPr>
        <w:t xml:space="preserve">5.3 Detector Architecture</w:t>
      </w:r>
    </w:p>
    <w:p>
      <w:pPr>
        <w:pStyle w:val="ListParagraph"/>
        <w:numPr>
          <w:ilvl w:val="0"/>
          <w:numId w:val="2"/>
        </w:numPr>
        <w:spacing w:after="90"/>
      </w:pPr>
      <w:r>
        <w:rPr>
          <w:b/>
          <w:bCs/>
          <w:sz w:val="21"/>
          <w:szCs w:val="21"/>
        </w:rPr>
        <w:t xml:space="preserve">Primary Model: </w:t>
      </w:r>
      <w:r>
        <w:rPr>
          <w:sz w:val="21"/>
          <w:szCs w:val="21"/>
        </w:rPr>
        <w:t xml:space="preserve">Gradient-Boosted Decision Trees (XGBClassifier, n_estimators=100, max_depth=5, learning_rate=0.10, subsample=0.80, eval_metric='logloss').</w:t>
      </w:r>
    </w:p>
    <w:p>
      <w:pPr>
        <w:pStyle w:val="ListParagraph"/>
        <w:numPr>
          <w:ilvl w:val="0"/>
          <w:numId w:val="2"/>
        </w:numPr>
        <w:spacing w:after="90"/>
      </w:pPr>
      <w:r>
        <w:rPr>
          <w:b/>
          <w:bCs/>
          <w:sz w:val="21"/>
          <w:szCs w:val="21"/>
        </w:rPr>
        <w:t xml:space="preserve">Probability Estimation: </w:t>
      </w:r>
      <w:r>
        <w:rPr>
          <w:sz w:val="21"/>
          <w:szCs w:val="21"/>
        </w:rPr>
        <w:t xml:space="preserve">Calibrated logistic output representing P(Fraud = 1 | x).</w:t>
      </w:r>
    </w:p>
    <w:p>
      <w:pPr>
        <w:pStyle w:val="Heading1"/>
        <w:pBdr>
          <w:bottom w:val="single" w:color="1B2A4A" w:sz="8" w:space="4"/>
        </w:pBdr>
        <w:spacing w:after="200" w:before="400"/>
      </w:pPr>
      <w:r>
        <w:rPr>
          <w:b/>
          <w:bCs/>
          <w:color w:val="1B2A4A"/>
          <w:sz w:val="30"/>
          <w:szCs w:val="30"/>
        </w:rPr>
        <w:t xml:space="preserve">6. The 10-Dimensional Attack Genome Matrix</w:t>
      </w:r>
    </w:p>
    <w:p>
      <w:pPr>
        <w:spacing w:after="180" w:line="276"/>
      </w:pPr>
      <w:r>
        <w:rPr>
          <w:color w:val="222222"/>
          <w:sz w:val="21"/>
          <w:szCs w:val="21"/>
        </w:rPr>
        <w:t xml:space="preserve">Rather than treating fraud attacks as opaque, monolithic scripts, FraudForge AI deconstructs attack techniques into an orthogonal 10-dimensional genomic space: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800"/>
      </w:tblGrid>
      <w:tr>
        <w:trPr>
          <w:tblHeader/>
        </w:trPr>
        <w:tc>
          <w:tcPr>
            <w:tcW w:type="dxa" w:w="500"/>
            <w:shd w:fill="1B2A4A" w:color="auto"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2200"/>
            <w:shd w:fill="1B2A4A" w:color="auto" w:val="clear"/>
            <w:tcMar>
              <w:top w:type="dxa" w:w="80"/>
              <w:left w:type="dxa" w:w="100"/>
              <w:bottom w:type="dxa" w:w="80"/>
              <w:right w:type="dxa" w:w="100"/>
            </w:tcMar>
            <w:vAlign w:val="center"/>
          </w:tcPr>
          <w:p>
            <w:pPr>
              <w:jc w:val="center"/>
            </w:pPr>
            <w:r>
              <w:rPr>
                <w:b/>
                <w:bCs/>
                <w:color w:val="FFFFFF"/>
                <w:sz w:val="19"/>
                <w:szCs w:val="19"/>
              </w:rPr>
              <w:t xml:space="preserve">Gene</w:t>
            </w:r>
          </w:p>
        </w:tc>
        <w:tc>
          <w:tcPr>
            <w:tcW w:type="dxa" w:w="6800"/>
            <w:shd w:fill="1B2A4A" w:color="auto" w:val="clear"/>
            <w:tcMar>
              <w:top w:type="dxa" w:w="80"/>
              <w:left w:type="dxa" w:w="100"/>
              <w:bottom w:type="dxa" w:w="80"/>
              <w:right w:type="dxa" w:w="100"/>
            </w:tcMar>
            <w:vAlign w:val="center"/>
          </w:tcPr>
          <w:p>
            <w:pPr>
              <w:jc w:val="center"/>
            </w:pPr>
            <w:r>
              <w:rPr>
                <w:b/>
                <w:bCs/>
                <w:color w:val="FFFFFF"/>
                <w:sz w:val="19"/>
                <w:szCs w:val="19"/>
              </w:rPr>
              <w:t xml:space="preserve">Vocabulary</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2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target</w:t>
            </w:r>
          </w:p>
        </w:tc>
        <w:tc>
          <w:tcPr>
            <w:tcW w:type="dxa" w:w="6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account, identity, merchant, payment_agent, checkout, payment_authorization, customer</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2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entry_vector</w:t>
            </w:r>
          </w:p>
        </w:tc>
        <w:tc>
          <w:tcPr>
            <w:tcW w:type="dxa" w:w="6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credential_abuse, prompt_manipulation, deepfake_synthesis, social_engineering, session_hijacking, api_exploit, malware</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2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behavior</w:t>
            </w:r>
          </w:p>
        </w:tc>
        <w:tc>
          <w:tcPr>
            <w:tcW w:type="dxa" w:w="6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low_and_slow, burst_velocity, behavioral_mimicry, cross_channel, cart_manipulation, identity_fabrication</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2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evasion_strategy</w:t>
            </w:r>
          </w:p>
        </w:tc>
        <w:tc>
          <w:tcPr>
            <w:tcW w:type="dxa" w:w="6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trusted_device_masking, velocity_smoothing, amount_camouflage, biometric_spoofing, risk_signal_suppression</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2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payment_channel</w:t>
            </w:r>
          </w:p>
        </w:tc>
        <w:tc>
          <w:tcPr>
            <w:tcW w:type="dxa" w:w="6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e-commerce, p2p_transfer, mobile_app, api_gateway, pos_chip, pos_contactless, recurring_subscription</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2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amount_strategy</w:t>
            </w:r>
          </w:p>
        </w:tc>
        <w:tc>
          <w:tcPr>
            <w:tcW w:type="dxa" w:w="6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normal_looking, micro_transactions, high_ticket_escalation, sub_threshold_structuring, stealth_discounted</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7</w:t>
            </w:r>
          </w:p>
        </w:tc>
        <w:tc>
          <w:tcPr>
            <w:tcW w:type="dxa" w:w="2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temporal_strategy</w:t>
            </w:r>
          </w:p>
        </w:tc>
        <w:tc>
          <w:tcPr>
            <w:tcW w:type="dxa" w:w="6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distributed, off_hours, daytime_peak, rapid_burst</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8</w:t>
            </w:r>
          </w:p>
        </w:tc>
        <w:tc>
          <w:tcPr>
            <w:tcW w:type="dxa" w:w="2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identity_strategy</w:t>
            </w:r>
          </w:p>
        </w:tc>
        <w:tc>
          <w:tcPr>
            <w:tcW w:type="dxa" w:w="6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existing_account, synthetic_sleeper, fabricated_identity, delegated_agent, swapped_sim, authorized_victim</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9</w:t>
            </w:r>
          </w:p>
        </w:tc>
        <w:tc>
          <w:tcPr>
            <w:tcW w:type="dxa" w:w="2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merchant_strategy</w:t>
            </w:r>
          </w:p>
        </w:tc>
        <w:tc>
          <w:tcPr>
            <w:tcW w:type="dxa" w:w="6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single_target, mcc_rotation, high_risk_crypto, digital_goods</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2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geographic_strategy</w:t>
            </w:r>
          </w:p>
        </w:tc>
        <w:tc>
          <w:tcPr>
            <w:tcW w:type="dxa" w:w="6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domestic_matching, cross_border_arbitrage, proxy_spoofed</w:t>
            </w:r>
          </w:p>
        </w:tc>
      </w:tr>
    </w:tbl>
    <w:p>
      <w:pPr>
        <w:spacing w:after="160"/>
      </w:pPr>
    </w:p>
    <w:p>
      <w:pPr>
        <w:spacing w:after="180" w:line="276"/>
      </w:pPr>
      <w:r>
        <w:rPr>
          <w:color w:val="222222"/>
          <w:sz w:val="21"/>
          <w:szCs w:val="21"/>
        </w:rPr>
        <w:t xml:space="preserve">All 28 known archetypes (across AI Social Engineering, Synthetic Identity, Automated ATO, Micro-Transactions, AI Agent Exploits, Cross-Channel Evasion, and Merchant Exploits) are cataloged as ground-truth genome configurations.</w:t>
      </w:r>
    </w:p>
    <w:p>
      <w:pPr>
        <w:pStyle w:val="Heading1"/>
        <w:pBdr>
          <w:bottom w:val="single" w:color="1B2A4A" w:sz="8" w:space="4"/>
        </w:pBdr>
        <w:spacing w:after="200" w:before="400"/>
      </w:pPr>
      <w:r>
        <w:rPr>
          <w:b/>
          <w:bCs/>
          <w:color w:val="1B2A4A"/>
          <w:sz w:val="30"/>
          <w:szCs w:val="30"/>
        </w:rPr>
        <w:t xml:space="preserve">7. Red-Team Discovery &amp; Blue-Team Hardening Loop</w:t>
      </w:r>
    </w:p>
    <w:p>
      <w:pPr>
        <w:pStyle w:val="Heading2"/>
        <w:spacing w:after="160" w:before="320"/>
      </w:pPr>
      <w:r>
        <w:rPr>
          <w:b/>
          <w:bCs/>
          <w:color w:val="8E2418"/>
          <w:sz w:val="24"/>
          <w:szCs w:val="24"/>
        </w:rPr>
        <w:t xml:space="preserve">7.1 Novel Attack Discovery (Red-Team)</w:t>
      </w:r>
    </w:p>
    <w:p>
      <w:pPr>
        <w:spacing w:after="180" w:line="276"/>
      </w:pPr>
      <w:r>
        <w:rPr>
          <w:color w:val="222222"/>
          <w:sz w:val="21"/>
          <w:szCs w:val="21"/>
        </w:rPr>
        <w:t xml:space="preserve">The genetic discovery engine (src/attacks/attack_discovery.py) searches the 10-dimensional space:</w:t>
      </w:r>
    </w:p>
    <w:p>
      <w:pPr>
        <w:pStyle w:val="ListParagraph"/>
        <w:numPr>
          <w:ilvl w:val="0"/>
          <w:numId w:val="3"/>
        </w:numPr>
        <w:spacing w:after="90"/>
      </w:pPr>
      <w:r>
        <w:rPr>
          <w:b/>
          <w:bCs/>
          <w:sz w:val="21"/>
          <w:szCs w:val="21"/>
        </w:rPr>
        <w:t xml:space="preserve">Genetic Mutation &amp; Crossover: </w:t>
      </w:r>
      <w:r>
        <w:rPr>
          <w:sz w:val="21"/>
          <w:szCs w:val="21"/>
        </w:rPr>
        <w:t xml:space="preserve">Combines traits from known archetypes while mutating parameters.</w:t>
      </w:r>
    </w:p>
    <w:p>
      <w:pPr>
        <w:pStyle w:val="ListParagraph"/>
        <w:numPr>
          <w:ilvl w:val="0"/>
          <w:numId w:val="3"/>
        </w:numPr>
        <w:spacing w:after="90"/>
      </w:pPr>
      <w:r>
        <w:rPr>
          <w:b/>
          <w:bCs/>
          <w:sz w:val="21"/>
          <w:szCs w:val="21"/>
        </w:rPr>
        <w:t xml:space="preserve">Domain Compatibility Filter: </w:t>
      </w:r>
      <w:r>
        <w:rPr>
          <w:sz w:val="21"/>
          <w:szCs w:val="21"/>
        </w:rPr>
        <w:t xml:space="preserve">Enforces 9 business logic rules (e.g., physical POS contactless cannot execute API gateway prompt injections without cross-channel mechanics).</w:t>
      </w:r>
    </w:p>
    <w:p>
      <w:pPr>
        <w:pStyle w:val="ListParagraph"/>
        <w:numPr>
          <w:ilvl w:val="0"/>
          <w:numId w:val="3"/>
        </w:numPr>
        <w:spacing w:after="90"/>
      </w:pPr>
      <w:r>
        <w:rPr>
          <w:b/>
          <w:bCs/>
          <w:sz w:val="21"/>
          <w:szCs w:val="21"/>
        </w:rPr>
        <w:t xml:space="preserve">Near-Duplicate Pruning: </w:t>
      </w:r>
      <w:r>
        <w:rPr>
          <w:sz w:val="21"/>
          <w:szCs w:val="21"/>
        </w:rPr>
        <w:t xml:space="preserve">Enforces minimum weighted gene distance (&gt;15% novelty vs. known archetypes).</w:t>
      </w:r>
    </w:p>
    <w:p>
      <w:pPr>
        <w:pStyle w:val="ListParagraph"/>
        <w:numPr>
          <w:ilvl w:val="0"/>
          <w:numId w:val="3"/>
        </w:numPr>
        <w:spacing w:after="90"/>
      </w:pPr>
      <w:r>
        <w:rPr>
          <w:b/>
          <w:bCs/>
          <w:sz w:val="21"/>
          <w:szCs w:val="21"/>
        </w:rPr>
        <w:t xml:space="preserve">Multi-Objective Transparent Scoring: </w:t>
      </w:r>
      <w:r>
        <w:rPr>
          <w:sz w:val="21"/>
          <w:szCs w:val="21"/>
        </w:rPr>
        <w:t xml:space="preserve">Priority = 0.40 × Novelty + 0.30 × Realism + 0.30 × Evasion Potential.</w:t>
      </w:r>
    </w:p>
    <w:p>
      <w:pPr>
        <w:pStyle w:val="ListParagraph"/>
        <w:numPr>
          <w:ilvl w:val="0"/>
          <w:numId w:val="3"/>
        </w:numPr>
        <w:spacing w:after="90"/>
      </w:pPr>
      <w:r>
        <w:rPr>
          <w:b/>
          <w:bCs/>
          <w:sz w:val="21"/>
          <w:szCs w:val="21"/>
        </w:rPr>
        <w:t xml:space="preserve">Detector Evaluation: </w:t>
      </w:r>
      <w:r>
        <w:rPr>
          <w:sz w:val="21"/>
          <w:szCs w:val="21"/>
        </w:rPr>
        <w:t xml:space="preserve">Synthesizes transactions for each candidate and tests them against the baseline model, isolating those with low detection recall as CRITICAL BLIND SPOTS (&lt;50% recall).</w:t>
      </w:r>
    </w:p>
    <w:p>
      <w:pPr>
        <w:pStyle w:val="Heading2"/>
        <w:spacing w:after="160" w:before="320"/>
      </w:pPr>
      <w:r>
        <w:rPr>
          <w:b/>
          <w:bCs/>
          <w:color w:val="8E2418"/>
          <w:sz w:val="24"/>
          <w:szCs w:val="24"/>
        </w:rPr>
        <w:t xml:space="preserve">7.2 Adaptive Hardening &amp; Gen-2 Generalization (Blue-Team)</w:t>
      </w:r>
    </w:p>
    <w:p>
      <w:pPr>
        <w:pStyle w:val="ListParagraph"/>
        <w:numPr>
          <w:ilvl w:val="0"/>
          <w:numId w:val="3"/>
        </w:numPr>
        <w:spacing w:after="90"/>
      </w:pPr>
      <w:r>
        <w:rPr>
          <w:b/>
          <w:bCs/>
          <w:sz w:val="21"/>
          <w:szCs w:val="21"/>
        </w:rPr>
        <w:t xml:space="preserve">False-Negative Mining: </w:t>
      </w:r>
      <w:r>
        <w:rPr>
          <w:sz w:val="21"/>
          <w:szCs w:val="21"/>
        </w:rPr>
        <w:t xml:space="preserve">Isolates candidates where baseline recall is lowest (e.g., NSA-001, NSA-003, NSA-008, NSA-012, NSA-004).</w:t>
      </w:r>
    </w:p>
    <w:p>
      <w:pPr>
        <w:pStyle w:val="ListParagraph"/>
        <w:numPr>
          <w:ilvl w:val="0"/>
          <w:numId w:val="3"/>
        </w:numPr>
        <w:spacing w:after="90"/>
      </w:pPr>
      <w:r>
        <w:rPr>
          <w:b/>
          <w:bCs/>
          <w:sz w:val="21"/>
          <w:szCs w:val="21"/>
        </w:rPr>
        <w:t xml:space="preserve">Adversarial Dataset Augmentation: </w:t>
      </w:r>
      <w:r>
        <w:rPr>
          <w:sz w:val="21"/>
          <w:szCs w:val="21"/>
        </w:rPr>
        <w:t xml:space="preserve">Synthesizes augmented training datasets (D_train_hardened = D_train ∪ D_blind_spots).</w:t>
      </w:r>
    </w:p>
    <w:p>
      <w:pPr>
        <w:pStyle w:val="ListParagraph"/>
        <w:numPr>
          <w:ilvl w:val="0"/>
          <w:numId w:val="3"/>
        </w:numPr>
        <w:spacing w:after="90"/>
      </w:pPr>
      <w:r>
        <w:rPr>
          <w:b/>
          <w:bCs/>
          <w:sz w:val="21"/>
          <w:szCs w:val="21"/>
        </w:rPr>
        <w:t xml:space="preserve">Model Retraining: </w:t>
      </w:r>
      <w:r>
        <w:rPr>
          <w:sz w:val="21"/>
          <w:szCs w:val="21"/>
        </w:rPr>
        <w:t xml:space="preserve">Trains the hardened XGBoost classifier on rebalanced feature weights.</w:t>
      </w:r>
    </w:p>
    <w:p>
      <w:pPr>
        <w:pStyle w:val="ListParagraph"/>
        <w:numPr>
          <w:ilvl w:val="0"/>
          <w:numId w:val="3"/>
        </w:numPr>
        <w:spacing w:after="90"/>
      </w:pPr>
      <w:r>
        <w:rPr>
          <w:b/>
          <w:bCs/>
          <w:sz w:val="21"/>
          <w:szCs w:val="21"/>
        </w:rPr>
        <w:t xml:space="preserve">Generalization Benchmark (Dataset D): </w:t>
      </w:r>
      <w:r>
        <w:rPr>
          <w:sz w:val="21"/>
          <w:szCs w:val="21"/>
        </w:rPr>
        <w:t xml:space="preserve">To verify that the model did not simply overfit or memorize specific training patterns, the hardened detector is tested against completely fresh, unseen Generation-2 variants (seed=2026) featuring altered gene structures and different transaction amounts.</w:t>
      </w:r>
    </w:p>
    <w:p>
      <w:pPr>
        <w:pStyle w:val="Heading1"/>
        <w:pBdr>
          <w:bottom w:val="single" w:color="1B2A4A" w:sz="8" w:space="4"/>
        </w:pBdr>
        <w:spacing w:after="200" w:before="400"/>
      </w:pPr>
      <w:r>
        <w:rPr>
          <w:b/>
          <w:bCs/>
          <w:color w:val="1B2A4A"/>
          <w:sz w:val="30"/>
          <w:szCs w:val="30"/>
        </w:rPr>
        <w:t xml:space="preserve">8. Verified Empirical Benchmark Results</w:t>
      </w:r>
    </w:p>
    <w:p>
      <w:pPr>
        <w:spacing w:after="180" w:line="276"/>
      </w:pPr>
      <w:r>
        <w:rPr>
          <w:color w:val="222222"/>
          <w:sz w:val="21"/>
          <w:szCs w:val="21"/>
        </w:rPr>
        <w:t xml:space="preserve">All metrics below are drawn directly from the verified experiment outputs (experiments/zero_day_hardening_summary.txt, experiments/zero_day_hardening_report.json, and experiments/risk_policy_evaluation.json):</w:t>
      </w:r>
    </w:p>
    <w:p>
      <w:pPr>
        <w:pStyle w:val="Heading2"/>
        <w:spacing w:after="160" w:before="320"/>
      </w:pPr>
      <w:r>
        <w:rPr>
          <w:b/>
          <w:bCs/>
          <w:color w:val="8E2418"/>
          <w:sz w:val="24"/>
          <w:szCs w:val="24"/>
        </w:rPr>
        <w:t xml:space="preserve">8.1 Zero-Day Hardening: Training Candidates (Gen-1)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300"/>
        <w:gridCol w:w="1300"/>
        <w:gridCol w:w="1300"/>
      </w:tblGrid>
      <w:tr>
        <w:trPr>
          <w:tblHeader/>
        </w:trPr>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Candidate ID</w:t>
            </w:r>
          </w:p>
        </w:tc>
        <w:tc>
          <w:tcPr>
            <w:tcW w:type="dxa" w:w="4200"/>
            <w:shd w:fill="1B2A4A" w:color="auto" w:val="clear"/>
            <w:tcMar>
              <w:top w:type="dxa" w:w="80"/>
              <w:left w:type="dxa" w:w="100"/>
              <w:bottom w:type="dxa" w:w="80"/>
              <w:right w:type="dxa" w:w="100"/>
            </w:tcMar>
            <w:vAlign w:val="center"/>
          </w:tcPr>
          <w:p>
            <w:pPr>
              <w:jc w:val="center"/>
            </w:pPr>
            <w:r>
              <w:rPr>
                <w:b/>
                <w:bCs/>
                <w:color w:val="FFFFFF"/>
                <w:sz w:val="19"/>
                <w:szCs w:val="19"/>
              </w:rPr>
              <w:t xml:space="preserve">Attack Profile</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Baseline</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Hardened</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Δ</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NSA-001</w:t>
            </w:r>
          </w:p>
        </w:tc>
        <w:tc>
          <w:tcPr>
            <w:tcW w:type="dxa" w:w="4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Trusted-Device Omnichannel Social Engineering Trap</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10.50%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97.50%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+87.00 pts</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NSA-003</w:t>
            </w:r>
          </w:p>
        </w:tc>
        <w:tc>
          <w:tcPr>
            <w:tcW w:type="dxa" w:w="4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Trusted-Device Low-and-Slow Merchant Return Arbitrage</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7.00%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100.00%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+93.00 pts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NSA-008</w:t>
            </w:r>
          </w:p>
        </w:tc>
        <w:tc>
          <w:tcPr>
            <w:tcW w:type="dxa" w:w="4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Biometric-Injected Behavioral Mimicry Account Takeover</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11.50%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98.00%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+86.50 pts</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NSA-012</w:t>
            </w:r>
          </w:p>
        </w:tc>
        <w:tc>
          <w:tcPr>
            <w:tcW w:type="dxa" w:w="4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Camouflaged Cart Manipulation Social Engineering Trap</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27.50%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100.00%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+72.50 pts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NSA-004</w:t>
            </w:r>
          </w:p>
        </w:tc>
        <w:tc>
          <w:tcPr>
            <w:tcW w:type="dxa" w:w="4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Signal-Suppressed Low-and-Slow Checkout Exploit</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54.00%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100.00%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+46.00 pts</w:t>
            </w:r>
          </w:p>
        </w:tc>
      </w:tr>
    </w:tbl>
    <w:p>
      <w:pPr>
        <w:spacing w:after="160"/>
      </w:pPr>
    </w:p>
    <w:p>
      <w:pPr>
        <w:pStyle w:val="Heading2"/>
        <w:spacing w:after="160" w:before="320"/>
      </w:pPr>
      <w:r>
        <w:rPr>
          <w:b/>
          <w:bCs/>
          <w:color w:val="8E2418"/>
          <w:sz w:val="24"/>
          <w:szCs w:val="24"/>
        </w:rPr>
        <w:t xml:space="preserve">8.2 Generalization Benchmark on Fresh Unseen Gen-2 Variants (Dataset 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300"/>
        <w:gridCol w:w="1300"/>
        <w:gridCol w:w="1300"/>
      </w:tblGrid>
      <w:tr>
        <w:trPr>
          <w:tblHeader/>
        </w:trPr>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Variant ID</w:t>
            </w:r>
          </w:p>
        </w:tc>
        <w:tc>
          <w:tcPr>
            <w:tcW w:type="dxa" w:w="4200"/>
            <w:shd w:fill="1B2A4A" w:color="auto" w:val="clear"/>
            <w:tcMar>
              <w:top w:type="dxa" w:w="80"/>
              <w:left w:type="dxa" w:w="100"/>
              <w:bottom w:type="dxa" w:w="80"/>
              <w:right w:type="dxa" w:w="100"/>
            </w:tcMar>
            <w:vAlign w:val="center"/>
          </w:tcPr>
          <w:p>
            <w:pPr>
              <w:jc w:val="center"/>
            </w:pPr>
            <w:r>
              <w:rPr>
                <w:b/>
                <w:bCs/>
                <w:color w:val="FFFFFF"/>
                <w:sz w:val="19"/>
                <w:szCs w:val="19"/>
              </w:rPr>
              <w:t xml:space="preserve">Gen-2 Attack Profile</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Baseline</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Hardened</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Gen. Gain</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NSA-001-V2</w:t>
            </w:r>
          </w:p>
        </w:tc>
        <w:tc>
          <w:tcPr>
            <w:tcW w:type="dxa" w:w="4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Trusted-Device Omnichannel Social Engineering (Gen-2)</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14.50%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79.00%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+64.50 pts</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NSA-003-V2</w:t>
            </w:r>
          </w:p>
        </w:tc>
        <w:tc>
          <w:tcPr>
            <w:tcW w:type="dxa" w:w="4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Trusted-Device Low-and-Slow Return Arbitrage (Gen-2)</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7.00%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100.00%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+93.00 pts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NSA-008-V2</w:t>
            </w:r>
          </w:p>
        </w:tc>
        <w:tc>
          <w:tcPr>
            <w:tcW w:type="dxa" w:w="4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Biometric-Injected Behavioral Mimicry ATO (Gen-2)</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37.00%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99.00%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+62.00 pts</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NSA-012-V2</w:t>
            </w:r>
          </w:p>
        </w:tc>
        <w:tc>
          <w:tcPr>
            <w:tcW w:type="dxa" w:w="4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Camouflaged Cart Manipulation Social Trap (Gen-2)</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1.50%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91.00%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+89.50 pts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NSA-004-V2</w:t>
            </w:r>
          </w:p>
        </w:tc>
        <w:tc>
          <w:tcPr>
            <w:tcW w:type="dxa" w:w="42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Signal-Suppressed Low-and-Slow Checkout (Gen-2)</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55.50%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100.00%</w:t>
            </w:r>
          </w:p>
        </w:tc>
        <w:tc>
          <w:tcPr>
            <w:tcW w:type="dxa" w:w="13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+44.50 pts</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OVERALL</w:t>
            </w:r>
          </w:p>
        </w:tc>
        <w:tc>
          <w:tcPr>
            <w:tcW w:type="dxa" w:w="42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Overall Unseen Gen-2 Benchmark (1,000 Tested)</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23.10%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93.80%</w:t>
            </w:r>
          </w:p>
        </w:tc>
        <w:tc>
          <w:tcPr>
            <w:tcW w:type="dxa" w:w="13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+70.70 pts</w:t>
            </w:r>
          </w:p>
        </w:tc>
      </w:tr>
    </w:tbl>
    <w:p>
      <w:pPr>
        <w:spacing w:after="160"/>
      </w:pPr>
    </w:p>
    <w:p>
      <w:pPr>
        <w:pBdr>
          <w:left w:val="single" w:color="C0392B" w:sz="24" w:space="8"/>
        </w:pBdr>
        <w:shd w:fill="FDEDEC" w:color="auto" w:val="clear"/>
        <w:spacing w:after="60" w:before="60"/>
        <w:ind w:left="200"/>
      </w:pPr>
      <w:r>
        <w:rPr>
          <w:i/>
          <w:iCs/>
          <w:color w:val="7B241C"/>
          <w:sz w:val="20"/>
          <w:szCs w:val="20"/>
        </w:rPr>
        <w:t xml:space="preserve">Key Takeaway: On 1,000 unseen Gen-2 transactions, missed attacks dropped from 769 down to 62 (-707 misses, a 91.9% reduction in false negatives).</w:t>
      </w:r>
    </w:p>
    <w:p>
      <w:pPr>
        <w:spacing w:after="160"/>
      </w:pPr>
    </w:p>
    <w:p>
      <w:pPr>
        <w:pStyle w:val="Heading2"/>
        <w:spacing w:after="160" w:before="320"/>
      </w:pPr>
      <w:r>
        <w:rPr>
          <w:b/>
          <w:bCs/>
          <w:color w:val="8E2418"/>
          <w:sz w:val="24"/>
          <w:szCs w:val="24"/>
        </w:rPr>
        <w:t xml:space="preserve">8.3 Defender Regression Check (Normal Legitimate Payments)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1600"/>
      </w:tblGrid>
      <w:tr>
        <w:trPr>
          <w:tblHeader/>
        </w:trPr>
        <w:tc>
          <w:tcPr>
            <w:tcW w:type="dxa" w:w="3300"/>
            <w:shd w:fill="1B2A4A" w:color="auto" w:val="clear"/>
            <w:tcMar>
              <w:top w:type="dxa" w:w="80"/>
              <w:left w:type="dxa" w:w="100"/>
              <w:bottom w:type="dxa" w:w="80"/>
              <w:right w:type="dxa" w:w="100"/>
            </w:tcMar>
            <w:vAlign w:val="center"/>
          </w:tcPr>
          <w:p>
            <w:pPr>
              <w:jc w:val="center"/>
            </w:pPr>
            <w:r>
              <w:rPr>
                <w:b/>
                <w:bCs/>
                <w:color w:val="FFFFFF"/>
                <w:sz w:val="19"/>
                <w:szCs w:val="19"/>
              </w:rPr>
              <w:t xml:space="preserve">Metric</w:t>
            </w:r>
          </w:p>
        </w:tc>
        <w:tc>
          <w:tcPr>
            <w:tcW w:type="dxa" w:w="2100"/>
            <w:shd w:fill="1B2A4A" w:color="auto" w:val="clear"/>
            <w:tcMar>
              <w:top w:type="dxa" w:w="80"/>
              <w:left w:type="dxa" w:w="100"/>
              <w:bottom w:type="dxa" w:w="80"/>
              <w:right w:type="dxa" w:w="100"/>
            </w:tcMar>
            <w:vAlign w:val="center"/>
          </w:tcPr>
          <w:p>
            <w:pPr>
              <w:jc w:val="center"/>
            </w:pPr>
            <w:r>
              <w:rPr>
                <w:b/>
                <w:bCs/>
                <w:color w:val="FFFFFF"/>
                <w:sz w:val="19"/>
                <w:szCs w:val="19"/>
              </w:rPr>
              <w:t xml:space="preserve">Baseline Detector</w:t>
            </w:r>
          </w:p>
        </w:tc>
        <w:tc>
          <w:tcPr>
            <w:tcW w:type="dxa" w:w="2100"/>
            <w:shd w:fill="1B2A4A" w:color="auto" w:val="clear"/>
            <w:tcMar>
              <w:top w:type="dxa" w:w="80"/>
              <w:left w:type="dxa" w:w="100"/>
              <w:bottom w:type="dxa" w:w="80"/>
              <w:right w:type="dxa" w:w="100"/>
            </w:tcMar>
            <w:vAlign w:val="center"/>
          </w:tcPr>
          <w:p>
            <w:pPr>
              <w:jc w:val="center"/>
            </w:pPr>
            <w:r>
              <w:rPr>
                <w:b/>
                <w:bCs/>
                <w:color w:val="FFFFFF"/>
                <w:sz w:val="19"/>
                <w:szCs w:val="19"/>
              </w:rPr>
              <w:t xml:space="preserve">Hardened Detector</w:t>
            </w:r>
          </w:p>
        </w:tc>
        <w:tc>
          <w:tcPr>
            <w:tcW w:type="dxa" w:w="1600"/>
            <w:shd w:fill="1B2A4A" w:color="auto" w:val="clear"/>
            <w:tcMar>
              <w:top w:type="dxa" w:w="80"/>
              <w:left w:type="dxa" w:w="100"/>
              <w:bottom w:type="dxa" w:w="80"/>
              <w:right w:type="dxa" w:w="100"/>
            </w:tcMar>
            <w:vAlign w:val="center"/>
          </w:tcPr>
          <w:p>
            <w:pPr>
              <w:jc w:val="center"/>
            </w:pPr>
            <w:r>
              <w:rPr>
                <w:b/>
                <w:bCs/>
                <w:color w:val="FFFFFF"/>
                <w:sz w:val="19"/>
                <w:szCs w:val="19"/>
              </w:rPr>
              <w:t xml:space="preserve">Delta</w:t>
            </w:r>
          </w:p>
        </w:tc>
      </w:tr>
      <w:tr>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Legitimate Transaction Recall</w:t>
            </w:r>
          </w:p>
        </w:tc>
        <w:tc>
          <w:tcPr>
            <w:tcW w:type="dxa" w:w="21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96.33%</w:t>
            </w:r>
          </w:p>
        </w:tc>
        <w:tc>
          <w:tcPr>
            <w:tcW w:type="dxa" w:w="21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98.33%</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+2.00%</w:t>
            </w:r>
          </w:p>
        </w:tc>
      </w:tr>
      <w:tr>
        <w:tc>
          <w:tcPr>
            <w:tcW w:type="dxa" w:w="33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Legitimate Transaction Accuracy</w:t>
            </w:r>
          </w:p>
        </w:tc>
        <w:tc>
          <w:tcPr>
            <w:tcW w:type="dxa" w:w="21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98.65%</w:t>
            </w:r>
          </w:p>
        </w:tc>
        <w:tc>
          <w:tcPr>
            <w:tcW w:type="dxa" w:w="21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97.30%</w:t>
            </w:r>
          </w:p>
        </w:tc>
        <w:tc>
          <w:tcPr>
            <w:tcW w:type="dxa" w:w="16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-1.35%</w:t>
            </w:r>
          </w:p>
        </w:tc>
      </w:tr>
      <w:tr>
        <w:tc>
          <w:tcPr>
            <w:tcW w:type="dxa" w:w="33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False Positive Rate (FPR)</w:t>
            </w:r>
          </w:p>
        </w:tc>
        <w:tc>
          <w:tcPr>
            <w:tcW w:type="dxa" w:w="21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0.94%</w:t>
            </w:r>
          </w:p>
        </w:tc>
        <w:tc>
          <w:tcPr>
            <w:tcW w:type="dxa" w:w="21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2.88%</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+1.94%</w:t>
            </w:r>
          </w:p>
        </w:tc>
      </w:tr>
    </w:tbl>
    <w:p>
      <w:pPr>
        <w:pStyle w:val="Heading1"/>
        <w:pBdr>
          <w:bottom w:val="single" w:color="1B2A4A" w:sz="8" w:space="4"/>
        </w:pBdr>
        <w:spacing w:after="200" w:before="400"/>
      </w:pPr>
      <w:r>
        <w:rPr>
          <w:b/>
          <w:bCs/>
          <w:color w:val="1B2A4A"/>
          <w:sz w:val="30"/>
          <w:szCs w:val="30"/>
        </w:rPr>
        <w:t xml:space="preserve">9. Risk-Aware Decision Engine &amp; Explainability</w:t>
      </w:r>
    </w:p>
    <w:p>
      <w:pPr>
        <w:pStyle w:val="Heading2"/>
        <w:spacing w:after="160" w:before="320"/>
      </w:pPr>
      <w:r>
        <w:rPr>
          <w:b/>
          <w:bCs/>
          <w:color w:val="8E2418"/>
          <w:sz w:val="24"/>
          <w:szCs w:val="24"/>
        </w:rPr>
        <w:t xml:space="preserve">9.1 Multi-Tier Operational Policy</w:t>
      </w:r>
    </w:p>
    <w:p>
      <w:pPr>
        <w:spacing w:after="180" w:line="276"/>
      </w:pPr>
      <w:r>
        <w:rPr>
          <w:color w:val="222222"/>
          <w:sz w:val="21"/>
          <w:szCs w:val="21"/>
        </w:rPr>
        <w:t xml:space="preserve">Rather than forcing a binary 0/1 decision, RiskDecisionEngine maps calibrated probabilities into four actionable tiers: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100"/>
      </w:tblGrid>
      <w:tr>
        <w:trPr>
          <w:tblHeader/>
        </w:trPr>
        <w:tc>
          <w:tcPr>
            <w:tcW w:type="dxa" w:w="1800"/>
            <w:shd w:fill="1B2A4A" w:color="auto" w:val="clear"/>
            <w:tcMar>
              <w:top w:type="dxa" w:w="80"/>
              <w:left w:type="dxa" w:w="100"/>
              <w:bottom w:type="dxa" w:w="80"/>
              <w:right w:type="dxa" w:w="100"/>
            </w:tcMar>
            <w:vAlign w:val="center"/>
          </w:tcPr>
          <w:p>
            <w:pPr>
              <w:jc w:val="center"/>
            </w:pPr>
            <w:r>
              <w:rPr>
                <w:b/>
                <w:bCs/>
                <w:color w:val="FFFFFF"/>
                <w:sz w:val="19"/>
                <w:szCs w:val="19"/>
              </w:rPr>
              <w:t xml:space="preserve">Probability Range</w:t>
            </w:r>
          </w:p>
        </w:tc>
        <w:tc>
          <w:tcPr>
            <w:tcW w:type="dxa" w:w="1400"/>
            <w:shd w:fill="1B2A4A" w:color="auto" w:val="clear"/>
            <w:tcMar>
              <w:top w:type="dxa" w:w="80"/>
              <w:left w:type="dxa" w:w="100"/>
              <w:bottom w:type="dxa" w:w="80"/>
              <w:right w:type="dxa" w:w="100"/>
            </w:tcMar>
            <w:vAlign w:val="center"/>
          </w:tcPr>
          <w:p>
            <w:pPr>
              <w:jc w:val="center"/>
            </w:pPr>
            <w:r>
              <w:rPr>
                <w:b/>
                <w:bCs/>
                <w:color w:val="FFFFFF"/>
                <w:sz w:val="19"/>
                <w:szCs w:val="19"/>
              </w:rPr>
              <w:t xml:space="preserve">Risk Tier</w:t>
            </w:r>
          </w:p>
        </w:tc>
        <w:tc>
          <w:tcPr>
            <w:tcW w:type="dxa" w:w="1800"/>
            <w:shd w:fill="1B2A4A" w:color="auto" w:val="clear"/>
            <w:tcMar>
              <w:top w:type="dxa" w:w="80"/>
              <w:left w:type="dxa" w:w="100"/>
              <w:bottom w:type="dxa" w:w="80"/>
              <w:right w:type="dxa" w:w="100"/>
            </w:tcMar>
            <w:vAlign w:val="center"/>
          </w:tcPr>
          <w:p>
            <w:pPr>
              <w:jc w:val="center"/>
            </w:pPr>
            <w:r>
              <w:rPr>
                <w:b/>
                <w:bCs/>
                <w:color w:val="FFFFFF"/>
                <w:sz w:val="19"/>
                <w:szCs w:val="19"/>
              </w:rPr>
              <w:t xml:space="preserve">Action</w:t>
            </w:r>
          </w:p>
        </w:tc>
        <w:tc>
          <w:tcPr>
            <w:tcW w:type="dxa" w:w="4100"/>
            <w:shd w:fill="1B2A4A" w:color="auto" w:val="clear"/>
            <w:tcMar>
              <w:top w:type="dxa" w:w="80"/>
              <w:left w:type="dxa" w:w="100"/>
              <w:bottom w:type="dxa" w:w="80"/>
              <w:right w:type="dxa" w:w="100"/>
            </w:tcMar>
            <w:vAlign w:val="center"/>
          </w:tcPr>
          <w:p>
            <w:pPr>
              <w:jc w:val="center"/>
            </w:pPr>
            <w:r>
              <w:rPr>
                <w:b/>
                <w:bCs/>
                <w:color w:val="FFFFFF"/>
                <w:sz w:val="19"/>
                <w:szCs w:val="19"/>
              </w:rPr>
              <w:t xml:space="preserve">Operational Mechanism</w:t>
            </w:r>
          </w:p>
        </w:tc>
      </w:tr>
      <w:tr>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[0.00 – 0.30)</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LOW</w:t>
            </w:r>
          </w:p>
        </w:tc>
        <w:tc>
          <w:tcPr>
            <w:tcW w:type="dxa" w:w="1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ALLOW</w:t>
            </w:r>
          </w:p>
        </w:tc>
        <w:tc>
          <w:tcPr>
            <w:tcW w:type="dxa" w:w="41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Frictionless payment authorization</w:t>
            </w:r>
          </w:p>
        </w:tc>
      </w:tr>
      <w:tr>
        <w:tc>
          <w:tcPr>
            <w:tcW w:type="dxa" w:w="18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[0.30 – 0.60)</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MEDIUM</w:t>
            </w:r>
          </w:p>
        </w:tc>
        <w:tc>
          <w:tcPr>
            <w:tcW w:type="dxa" w:w="1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MONITOR</w:t>
            </w:r>
          </w:p>
        </w:tc>
        <w:tc>
          <w:tcPr>
            <w:tcW w:type="dxa" w:w="41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Approved; background telemetry heightened</w:t>
            </w:r>
          </w:p>
        </w:tc>
      </w:tr>
      <w:tr>
        <w:tc>
          <w:tcPr>
            <w:tcW w:type="dxa" w:w="18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[0.60 – 0.85)</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HIGH</w:t>
            </w:r>
          </w:p>
        </w:tc>
        <w:tc>
          <w:tcPr>
            <w:tcW w:type="dxa" w:w="1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STEP_UP_AUTH</w:t>
            </w:r>
          </w:p>
        </w:tc>
        <w:tc>
          <w:tcPr>
            <w:tcW w:type="dxa" w:w="41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Friction challenge (3DS v2, Biometric Push, OTP)</w:t>
            </w:r>
          </w:p>
        </w:tc>
      </w:tr>
      <w:tr>
        <w:tc>
          <w:tcPr>
            <w:tcW w:type="dxa" w:w="18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[0.85 – 1.00]</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CRITICAL</w:t>
            </w:r>
          </w:p>
        </w:tc>
        <w:tc>
          <w:tcPr>
            <w:tcW w:type="dxa" w:w="1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BLOCK</w:t>
            </w:r>
          </w:p>
        </w:tc>
        <w:tc>
          <w:tcPr>
            <w:tcW w:type="dxa" w:w="41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Immediate autonomous rejection</w:t>
            </w:r>
          </w:p>
        </w:tc>
      </w:tr>
    </w:tbl>
    <w:p>
      <w:pPr>
        <w:spacing w:after="160"/>
      </w:pPr>
    </w:p>
    <w:p>
      <w:pPr>
        <w:pStyle w:val="Heading2"/>
        <w:spacing w:after="160" w:before="320"/>
      </w:pPr>
      <w:r>
        <w:rPr>
          <w:b/>
          <w:bCs/>
          <w:color w:val="8E2418"/>
          <w:sz w:val="24"/>
          <w:szCs w:val="24"/>
        </w:rPr>
        <w:t xml:space="preserve">9.2 Policy Optimization Comparison (Simulated Relative Cost)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000"/>
        <w:gridCol w:w="1000"/>
        <w:gridCol w:w="1500"/>
      </w:tblGrid>
      <w:tr>
        <w:trPr>
          <w:tblHeader/>
        </w:trPr>
        <w:tc>
          <w:tcPr>
            <w:tcW w:type="dxa" w:w="2800"/>
            <w:shd w:fill="1B2A4A" w:color="auto" w:val="clear"/>
            <w:tcMar>
              <w:top w:type="dxa" w:w="80"/>
              <w:left w:type="dxa" w:w="100"/>
              <w:bottom w:type="dxa" w:w="80"/>
              <w:right w:type="dxa" w:w="100"/>
            </w:tcMar>
            <w:vAlign w:val="center"/>
          </w:tcPr>
          <w:p>
            <w:pPr>
              <w:jc w:val="center"/>
            </w:pPr>
            <w:r>
              <w:rPr>
                <w:b/>
                <w:bCs/>
                <w:color w:val="FFFFFF"/>
                <w:sz w:val="19"/>
                <w:szCs w:val="19"/>
              </w:rPr>
              <w:t xml:space="preserve">Policy Configuration</w:t>
            </w:r>
          </w:p>
        </w:tc>
        <w:tc>
          <w:tcPr>
            <w:tcW w:type="dxa" w:w="1400"/>
            <w:shd w:fill="1B2A4A" w:color="auto" w:val="clear"/>
            <w:tcMar>
              <w:top w:type="dxa" w:w="80"/>
              <w:left w:type="dxa" w:w="100"/>
              <w:bottom w:type="dxa" w:w="80"/>
              <w:right w:type="dxa" w:w="100"/>
            </w:tcMar>
            <w:vAlign w:val="center"/>
          </w:tcPr>
          <w:p>
            <w:pPr>
              <w:jc w:val="center"/>
            </w:pPr>
            <w:r>
              <w:rPr>
                <w:b/>
                <w:bCs/>
                <w:color w:val="FFFFFF"/>
                <w:sz w:val="19"/>
                <w:szCs w:val="19"/>
              </w:rPr>
              <w:t xml:space="preserve">Intercept Rate</w:t>
            </w:r>
          </w:p>
        </w:tc>
        <w:tc>
          <w:tcPr>
            <w:tcW w:type="dxa" w:w="1400"/>
            <w:shd w:fill="1B2A4A" w:color="auto" w:val="clear"/>
            <w:tcMar>
              <w:top w:type="dxa" w:w="80"/>
              <w:left w:type="dxa" w:w="100"/>
              <w:bottom w:type="dxa" w:w="80"/>
              <w:right w:type="dxa" w:w="100"/>
            </w:tcMar>
            <w:vAlign w:val="center"/>
          </w:tcPr>
          <w:p>
            <w:pPr>
              <w:jc w:val="center"/>
            </w:pPr>
            <w:r>
              <w:rPr>
                <w:b/>
                <w:bCs/>
                <w:color w:val="FFFFFF"/>
                <w:sz w:val="19"/>
                <w:szCs w:val="19"/>
              </w:rPr>
              <w:t xml:space="preserve">Block Recall</w:t>
            </w:r>
          </w:p>
        </w:tc>
        <w:tc>
          <w:tcPr>
            <w:tcW w:type="dxa" w:w="1000"/>
            <w:shd w:fill="1B2A4A" w:color="auto" w:val="clear"/>
            <w:tcMar>
              <w:top w:type="dxa" w:w="80"/>
              <w:left w:type="dxa" w:w="100"/>
              <w:bottom w:type="dxa" w:w="80"/>
              <w:right w:type="dxa" w:w="100"/>
            </w:tcMar>
            <w:vAlign w:val="center"/>
          </w:tcPr>
          <w:p>
            <w:pPr>
              <w:jc w:val="center"/>
            </w:pPr>
            <w:r>
              <w:rPr>
                <w:b/>
                <w:bCs/>
                <w:color w:val="FFFFFF"/>
                <w:sz w:val="19"/>
                <w:szCs w:val="19"/>
              </w:rPr>
              <w:t xml:space="preserve">FPR</w:t>
            </w:r>
          </w:p>
        </w:tc>
        <w:tc>
          <w:tcPr>
            <w:tcW w:type="dxa" w:w="1000"/>
            <w:shd w:fill="1B2A4A" w:color="auto" w:val="clear"/>
            <w:tcMar>
              <w:top w:type="dxa" w:w="80"/>
              <w:left w:type="dxa" w:w="100"/>
              <w:bottom w:type="dxa" w:w="80"/>
              <w:right w:type="dxa" w:w="100"/>
            </w:tcMar>
            <w:vAlign w:val="center"/>
          </w:tcPr>
          <w:p>
            <w:pPr>
              <w:jc w:val="center"/>
            </w:pPr>
            <w:r>
              <w:rPr>
                <w:b/>
                <w:bCs/>
                <w:color w:val="FFFFFF"/>
                <w:sz w:val="19"/>
                <w:szCs w:val="19"/>
              </w:rPr>
              <w:t xml:space="preserve">Step-Up</w:t>
            </w:r>
          </w:p>
        </w:tc>
        <w:tc>
          <w:tcPr>
            <w:tcW w:type="dxa" w:w="1500"/>
            <w:shd w:fill="1B2A4A" w:color="auto" w:val="clear"/>
            <w:tcMar>
              <w:top w:type="dxa" w:w="80"/>
              <w:left w:type="dxa" w:w="100"/>
              <w:bottom w:type="dxa" w:w="80"/>
              <w:right w:type="dxa" w:w="100"/>
            </w:tcMar>
            <w:vAlign w:val="center"/>
          </w:tcPr>
          <w:p>
            <w:pPr>
              <w:jc w:val="center"/>
            </w:pPr>
            <w:r>
              <w:rPr>
                <w:b/>
                <w:bCs/>
                <w:color w:val="FFFFFF"/>
                <w:sz w:val="19"/>
                <w:szCs w:val="19"/>
              </w:rPr>
              <w:t xml:space="preserve">Cost Index</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Binary Baseline (P ≥ 0.50)</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99.30%</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99.30%</w:t>
            </w:r>
          </w:p>
        </w:tc>
        <w:tc>
          <w:tcPr>
            <w:tcW w:type="dxa" w:w="10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3.31%</w:t>
            </w:r>
          </w:p>
        </w:tc>
        <w:tc>
          <w:tcPr>
            <w:tcW w:type="dxa" w:w="10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0</w:t>
            </w:r>
          </w:p>
        </w:tc>
        <w:tc>
          <w:tcPr>
            <w:tcW w:type="dxa" w:w="15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38.0</w:t>
            </w:r>
          </w:p>
        </w:tc>
      </w:tr>
      <w:tr>
        <w:tc>
          <w:tcPr>
            <w:tcW w:type="dxa" w:w="28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BALANCED Policy (Multi-Tier)</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99.30%</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80.00%</w:t>
            </w:r>
          </w:p>
        </w:tc>
        <w:tc>
          <w:tcPr>
            <w:tcW w:type="dxa" w:w="10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1.06%</w:t>
            </w:r>
          </w:p>
        </w:tc>
        <w:tc>
          <w:tcPr>
            <w:tcW w:type="dxa" w:w="10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19</w:t>
            </w:r>
          </w:p>
        </w:tc>
        <w:tc>
          <w:tcPr>
            <w:tcW w:type="dxa" w:w="15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23.8 (-37.4%)</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STRICT_SECURITY Policy</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99.30%</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85.00%</w:t>
            </w:r>
          </w:p>
        </w:tc>
        <w:tc>
          <w:tcPr>
            <w:tcW w:type="dxa" w:w="10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1.54%</w:t>
            </w:r>
          </w:p>
        </w:tc>
        <w:tc>
          <w:tcPr>
            <w:tcW w:type="dxa" w:w="10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22</w:t>
            </w:r>
          </w:p>
        </w:tc>
        <w:tc>
          <w:tcPr>
            <w:tcW w:type="dxa" w:w="15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28.5 (-25.0%)</w:t>
            </w:r>
          </w:p>
        </w:tc>
      </w:tr>
    </w:tbl>
    <w:p>
      <w:pPr>
        <w:spacing w:after="160"/>
      </w:pPr>
    </w:p>
    <w:p>
      <w:pPr>
        <w:spacing w:after="180" w:line="276"/>
      </w:pPr>
      <w:r>
        <w:rPr>
          <w:i/>
          <w:iCs/>
          <w:color w:val="5A5A5A"/>
          <w:sz w:val="19"/>
          <w:szCs w:val="19"/>
        </w:rPr>
        <w:t xml:space="preserve">Cost model: </w:t>
      </w:r>
      <w:r>
        <w:rPr>
          <w:i/>
          <w:iCs/>
          <w:color w:val="5A5A5A"/>
          <w:sz w:val="19"/>
          <w:szCs w:val="19"/>
        </w:rPr>
        <w:t xml:space="preserve">Cost = 10.0 × FN + 1.0 × FP + 0.25 × Step-Up. By challenging rather than declining ambiguous transactions, the Balanced policy cuts false declines by over 65% while maintaining a 99.30% intercept rate.</w:t>
      </w:r>
    </w:p>
    <w:p>
      <w:pPr>
        <w:pStyle w:val="Heading2"/>
        <w:spacing w:after="160" w:before="320"/>
      </w:pPr>
      <w:r>
        <w:rPr>
          <w:b/>
          <w:bCs/>
          <w:color w:val="8E2418"/>
          <w:sz w:val="24"/>
          <w:szCs w:val="24"/>
        </w:rPr>
        <w:t xml:space="preserve">9.3 Transparent Reason Codes</w:t>
      </w:r>
    </w:p>
    <w:p>
      <w:pPr>
        <w:spacing w:after="180" w:line="276"/>
      </w:pPr>
      <w:r>
        <w:rPr>
          <w:color w:val="222222"/>
          <w:sz w:val="21"/>
          <w:szCs w:val="21"/>
        </w:rPr>
        <w:t xml:space="preserve">Every decision provides human-interpretable, feature-grounded reason codes:</w:t>
      </w:r>
    </w:p>
    <w:p>
      <w:pPr>
        <w:pStyle w:val="ListParagraph"/>
        <w:numPr>
          <w:ilvl w:val="0"/>
          <w:numId w:val="2"/>
        </w:numPr>
        <w:spacing w:after="90"/>
      </w:pPr>
      <w:r>
        <w:rPr>
          <w:rFonts w:ascii="Consolas" w:cs="Consolas" w:eastAsia="Consolas" w:hAnsi="Consolas"/>
          <w:b/>
          <w:bCs/>
          <w:sz w:val="20"/>
          <w:szCs w:val="20"/>
        </w:rPr>
        <w:t xml:space="preserve">HIGH_IP_RISK: </w:t>
      </w:r>
      <w:r>
        <w:rPr>
          <w:sz w:val="20"/>
          <w:szCs w:val="20"/>
        </w:rPr>
        <w:t xml:space="preserve">IP_risk_score ≥ 0.70</w:t>
      </w:r>
    </w:p>
    <w:p>
      <w:pPr>
        <w:pStyle w:val="ListParagraph"/>
        <w:numPr>
          <w:ilvl w:val="0"/>
          <w:numId w:val="2"/>
        </w:numPr>
        <w:spacing w:after="90"/>
      </w:pPr>
      <w:r>
        <w:rPr>
          <w:rFonts w:ascii="Consolas" w:cs="Consolas" w:eastAsia="Consolas" w:hAnsi="Consolas"/>
          <w:b/>
          <w:bCs/>
          <w:sz w:val="20"/>
          <w:szCs w:val="20"/>
        </w:rPr>
        <w:t xml:space="preserve">UNUSUAL_AMOUNT: </w:t>
      </w:r>
      <w:r>
        <w:rPr>
          <w:sz w:val="20"/>
          <w:szCs w:val="20"/>
        </w:rPr>
        <w:t xml:space="preserve">amount_deviation ≥ 2.0</w:t>
      </w:r>
    </w:p>
    <w:p>
      <w:pPr>
        <w:pStyle w:val="ListParagraph"/>
        <w:numPr>
          <w:ilvl w:val="0"/>
          <w:numId w:val="2"/>
        </w:numPr>
        <w:spacing w:after="90"/>
      </w:pPr>
      <w:r>
        <w:rPr>
          <w:rFonts w:ascii="Consolas" w:cs="Consolas" w:eastAsia="Consolas" w:hAnsi="Consolas"/>
          <w:b/>
          <w:bCs/>
          <w:sz w:val="20"/>
          <w:szCs w:val="20"/>
        </w:rPr>
        <w:t xml:space="preserve">HIGH_VELOCITY: </w:t>
      </w:r>
      <w:r>
        <w:rPr>
          <w:sz w:val="20"/>
          <w:szCs w:val="20"/>
        </w:rPr>
        <w:t xml:space="preserve">velocity_1h ≥ 5</w:t>
      </w:r>
    </w:p>
    <w:p>
      <w:pPr>
        <w:pStyle w:val="ListParagraph"/>
        <w:numPr>
          <w:ilvl w:val="0"/>
          <w:numId w:val="2"/>
        </w:numPr>
        <w:spacing w:after="90"/>
      </w:pPr>
      <w:r>
        <w:rPr>
          <w:rFonts w:ascii="Consolas" w:cs="Consolas" w:eastAsia="Consolas" w:hAnsi="Consolas"/>
          <w:b/>
          <w:bCs/>
          <w:sz w:val="20"/>
          <w:szCs w:val="20"/>
        </w:rPr>
        <w:t xml:space="preserve">DEVICE_CHANGE: </w:t>
      </w:r>
      <w:r>
        <w:rPr>
          <w:sz w:val="20"/>
          <w:szCs w:val="20"/>
        </w:rPr>
        <w:t xml:space="preserve">device_change = 1</w:t>
      </w:r>
    </w:p>
    <w:p>
      <w:pPr>
        <w:pStyle w:val="ListParagraph"/>
        <w:numPr>
          <w:ilvl w:val="0"/>
          <w:numId w:val="2"/>
        </w:numPr>
        <w:spacing w:after="90"/>
      </w:pPr>
      <w:r>
        <w:rPr>
          <w:rFonts w:ascii="Consolas" w:cs="Consolas" w:eastAsia="Consolas" w:hAnsi="Consolas"/>
          <w:b/>
          <w:bCs/>
          <w:sz w:val="20"/>
          <w:szCs w:val="20"/>
        </w:rPr>
        <w:t xml:space="preserve">BEHAVIORAL_DEVIATION: </w:t>
      </w:r>
      <w:r>
        <w:rPr>
          <w:sz w:val="20"/>
          <w:szCs w:val="20"/>
        </w:rPr>
        <w:t xml:space="preserve">behavioral_deviation ≥ 0.60</w:t>
      </w:r>
    </w:p>
    <w:p>
      <w:pPr>
        <w:pStyle w:val="ListParagraph"/>
        <w:numPr>
          <w:ilvl w:val="0"/>
          <w:numId w:val="2"/>
        </w:numPr>
        <w:spacing w:after="90"/>
      </w:pPr>
      <w:r>
        <w:rPr>
          <w:rFonts w:ascii="Consolas" w:cs="Consolas" w:eastAsia="Consolas" w:hAnsi="Consolas"/>
          <w:b/>
          <w:bCs/>
          <w:sz w:val="20"/>
          <w:szCs w:val="20"/>
        </w:rPr>
        <w:t xml:space="preserve">IDENTITY_RISK: </w:t>
      </w:r>
      <w:r>
        <w:rPr>
          <w:sz w:val="20"/>
          <w:szCs w:val="20"/>
        </w:rPr>
        <w:t xml:space="preserve">identity_risk_score ≥ 0.65</w:t>
      </w:r>
    </w:p>
    <w:p>
      <w:pPr>
        <w:pStyle w:val="Heading1"/>
        <w:pBdr>
          <w:bottom w:val="single" w:color="1B2A4A" w:sz="8" w:space="4"/>
        </w:pBdr>
        <w:spacing w:after="200" w:before="400"/>
      </w:pPr>
      <w:r>
        <w:rPr>
          <w:b/>
          <w:bCs/>
          <w:color w:val="1B2A4A"/>
          <w:sz w:val="30"/>
          <w:szCs w:val="30"/>
        </w:rPr>
        <w:t xml:space="preserve">10. REST API Architecture</w:t>
      </w:r>
    </w:p>
    <w:p>
      <w:pPr>
        <w:spacing w:after="180" w:line="276"/>
      </w:pPr>
      <w:r>
        <w:rPr>
          <w:sz w:val="21"/>
          <w:szCs w:val="21"/>
        </w:rPr>
        <w:t xml:space="preserve">The Python backend exposes a modular, documented FastAPI service running on </w:t>
      </w:r>
      <w:r>
        <w:rPr>
          <w:rFonts w:ascii="Consolas" w:cs="Consolas" w:eastAsia="Consolas" w:hAnsi="Consolas"/>
          <w:sz w:val="20"/>
          <w:szCs w:val="20"/>
        </w:rPr>
        <w:t xml:space="preserve">http://127.0.0.1:8000</w:t>
      </w:r>
      <w:r>
        <w:rPr>
          <w:sz w:val="21"/>
          <w:szCs w:val="21"/>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2900"/>
        <w:gridCol w:w="2800"/>
      </w:tblGrid>
      <w:tr>
        <w:trPr>
          <w:tblHeader/>
        </w:trPr>
        <w:tc>
          <w:tcPr>
            <w:tcW w:type="dxa" w:w="2900"/>
            <w:shd w:fill="1B2A4A" w:color="auto" w:val="clear"/>
            <w:tcMar>
              <w:top w:type="dxa" w:w="80"/>
              <w:left w:type="dxa" w:w="100"/>
              <w:bottom w:type="dxa" w:w="80"/>
              <w:right w:type="dxa" w:w="100"/>
            </w:tcMar>
            <w:vAlign w:val="center"/>
          </w:tcPr>
          <w:p>
            <w:pPr>
              <w:jc w:val="center"/>
            </w:pPr>
            <w:r>
              <w:rPr>
                <w:b/>
                <w:bCs/>
                <w:color w:val="FFFFFF"/>
                <w:sz w:val="19"/>
                <w:szCs w:val="19"/>
              </w:rPr>
              <w:t xml:space="preserve">Endpoint</w:t>
            </w:r>
          </w:p>
        </w:tc>
        <w:tc>
          <w:tcPr>
            <w:tcW w:type="dxa" w:w="900"/>
            <w:shd w:fill="1B2A4A" w:color="auto" w:val="clear"/>
            <w:tcMar>
              <w:top w:type="dxa" w:w="80"/>
              <w:left w:type="dxa" w:w="100"/>
              <w:bottom w:type="dxa" w:w="80"/>
              <w:right w:type="dxa" w:w="100"/>
            </w:tcMar>
            <w:vAlign w:val="center"/>
          </w:tcPr>
          <w:p>
            <w:pPr>
              <w:jc w:val="center"/>
            </w:pPr>
            <w:r>
              <w:rPr>
                <w:b/>
                <w:bCs/>
                <w:color w:val="FFFFFF"/>
                <w:sz w:val="19"/>
                <w:szCs w:val="19"/>
              </w:rPr>
              <w:t xml:space="preserve">Method</w:t>
            </w:r>
          </w:p>
        </w:tc>
        <w:tc>
          <w:tcPr>
            <w:tcW w:type="dxa" w:w="2900"/>
            <w:shd w:fill="1B2A4A" w:color="auto" w:val="clear"/>
            <w:tcMar>
              <w:top w:type="dxa" w:w="80"/>
              <w:left w:type="dxa" w:w="100"/>
              <w:bottom w:type="dxa" w:w="80"/>
              <w:right w:type="dxa" w:w="100"/>
            </w:tcMar>
            <w:vAlign w:val="center"/>
          </w:tcPr>
          <w:p>
            <w:pPr>
              <w:jc w:val="center"/>
            </w:pPr>
            <w:r>
              <w:rPr>
                <w:b/>
                <w:bCs/>
                <w:color w:val="FFFFFF"/>
                <w:sz w:val="19"/>
                <w:szCs w:val="19"/>
              </w:rPr>
              <w:t xml:space="preserve">Purpose</w:t>
            </w:r>
          </w:p>
        </w:tc>
        <w:tc>
          <w:tcPr>
            <w:tcW w:type="dxa" w:w="2800"/>
            <w:shd w:fill="1B2A4A" w:color="auto" w:val="clear"/>
            <w:tcMar>
              <w:top w:type="dxa" w:w="80"/>
              <w:left w:type="dxa" w:w="100"/>
              <w:bottom w:type="dxa" w:w="80"/>
              <w:right w:type="dxa" w:w="100"/>
            </w:tcMar>
            <w:vAlign w:val="center"/>
          </w:tcPr>
          <w:p>
            <w:pPr>
              <w:jc w:val="center"/>
            </w:pPr>
            <w:r>
              <w:rPr>
                <w:b/>
                <w:bCs/>
                <w:color w:val="FFFFFF"/>
                <w:sz w:val="19"/>
                <w:szCs w:val="19"/>
              </w:rPr>
              <w:t xml:space="preserve">Key Input / Output</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/api/v1/health</w:t>
            </w:r>
          </w:p>
        </w:tc>
        <w:tc>
          <w:tcPr>
            <w:tcW w:type="dxa" w:w="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GET</w:t>
            </w:r>
          </w:p>
        </w:tc>
        <w:tc>
          <w:tcPr>
            <w:tcW w:type="dxa" w:w="2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Service &amp; model artifact health check</w:t>
            </w:r>
          </w:p>
        </w:tc>
        <w:tc>
          <w:tcPr>
            <w:tcW w:type="dxa" w:w="2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Status, loaded models, archetype count</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/api/v1/catalog/known-attacks</w:t>
            </w:r>
          </w:p>
        </w:tc>
        <w:tc>
          <w:tcPr>
            <w:tcW w:type="dxa" w:w="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GET</w:t>
            </w:r>
          </w:p>
        </w:tc>
        <w:tc>
          <w:tcPr>
            <w:tcW w:type="dxa" w:w="2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Returns 28 cataloged archetypes</w:t>
            </w:r>
          </w:p>
        </w:tc>
        <w:tc>
          <w:tcPr>
            <w:tcW w:type="dxa" w:w="2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Full catalog list with genomes &amp; severity</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/api/v1/catalog/genome-vocabulary</w:t>
            </w:r>
          </w:p>
        </w:tc>
        <w:tc>
          <w:tcPr>
            <w:tcW w:type="dxa" w:w="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GET</w:t>
            </w:r>
          </w:p>
        </w:tc>
        <w:tc>
          <w:tcPr>
            <w:tcW w:type="dxa" w:w="2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Returns all 10 genome gene values</w:t>
            </w:r>
          </w:p>
        </w:tc>
        <w:tc>
          <w:tcPr>
            <w:tcW w:type="dxa" w:w="2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Dictionary of available genome choices</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/api/v1/discovery/generate-candidate</w:t>
            </w:r>
          </w:p>
        </w:tc>
        <w:tc>
          <w:tcPr>
            <w:tcW w:type="dxa" w:w="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POST</w:t>
            </w:r>
          </w:p>
        </w:tc>
        <w:tc>
          <w:tcPr>
            <w:tcW w:type="dxa" w:w="2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Evolves synthetic attack candidate</w:t>
            </w:r>
          </w:p>
        </w:tc>
        <w:tc>
          <w:tcPr>
            <w:tcW w:type="dxa" w:w="2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Custom/mutated genome &amp; multi-objective scores</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/api/v1/discovery/evaluate-candidate</w:t>
            </w:r>
          </w:p>
        </w:tc>
        <w:tc>
          <w:tcPr>
            <w:tcW w:type="dxa" w:w="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POST</w:t>
            </w:r>
          </w:p>
        </w:tc>
        <w:tc>
          <w:tcPr>
            <w:tcW w:type="dxa" w:w="2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Tests candidate against baseline detector</w:t>
            </w:r>
          </w:p>
        </w:tc>
        <w:tc>
          <w:tcPr>
            <w:tcW w:type="dxa" w:w="2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Real detection recall, missed count, blind spot tier</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/api/v1/hardening/compare-defense</w:t>
            </w:r>
          </w:p>
        </w:tc>
        <w:tc>
          <w:tcPr>
            <w:tcW w:type="dxa" w:w="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POST</w:t>
            </w:r>
          </w:p>
        </w:tc>
        <w:tc>
          <w:tcPr>
            <w:tcW w:type="dxa" w:w="2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Compares baseline vs. hardened detector</w:t>
            </w:r>
          </w:p>
        </w:tc>
        <w:tc>
          <w:tcPr>
            <w:tcW w:type="dxa" w:w="2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Baseline vs. hardened recall &amp; generalization gain</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222222"/>
                <w:sz w:val="19"/>
                <w:szCs w:val="19"/>
              </w:rPr>
              <w:t xml:space="preserve">/api/v1/risk/evaluate-transaction</w:t>
            </w:r>
          </w:p>
        </w:tc>
        <w:tc>
          <w:tcPr>
            <w:tcW w:type="dxa" w:w="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POST</w:t>
            </w:r>
          </w:p>
        </w:tc>
        <w:tc>
          <w:tcPr>
            <w:tcW w:type="dxa" w:w="29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Scores a single payment transaction</w:t>
            </w:r>
          </w:p>
        </w:tc>
        <w:tc>
          <w:tcPr>
            <w:tcW w:type="dxa" w:w="2800"/>
            <w:shd w:fill="FFFFFF" w:color="auto" w:val="clear"/>
            <w:tcMar>
              <w:top w:type="dxa" w:w="80"/>
              <w:left w:type="dxa" w:w="100"/>
              <w:bottom w:type="dxa" w:w="80"/>
              <w:right w:type="dxa" w:w="100"/>
            </w:tcMar>
            <w:vAlign w:val="center"/>
          </w:tcPr>
          <w:p>
            <w:pPr>
              <w:jc w:val="center"/>
            </w:pPr>
            <w:r>
              <w:rPr>
                <w:b w:val="false"/>
                <w:bCs w:val="false"/>
                <w:color w:val="222222"/>
                <w:sz w:val="19"/>
                <w:szCs w:val="19"/>
              </w:rPr>
              <w:t xml:space="preserve">Probability, risk score, tier, action, reason codes</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222222"/>
                <w:sz w:val="19"/>
                <w:szCs w:val="19"/>
              </w:rPr>
              <w:t xml:space="preserve">/api/v1/risk/evaluate-batch</w:t>
            </w:r>
          </w:p>
        </w:tc>
        <w:tc>
          <w:tcPr>
            <w:tcW w:type="dxa" w:w="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POST</w:t>
            </w:r>
          </w:p>
        </w:tc>
        <w:tc>
          <w:tcPr>
            <w:tcW w:type="dxa" w:w="29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Batch transaction scoring</w:t>
            </w:r>
          </w:p>
        </w:tc>
        <w:tc>
          <w:tcPr>
            <w:tcW w:type="dxa" w:w="2800"/>
            <w:shd w:fill="F2F2F2" w:color="auto" w:val="clear"/>
            <w:tcMar>
              <w:top w:type="dxa" w:w="80"/>
              <w:left w:type="dxa" w:w="100"/>
              <w:bottom w:type="dxa" w:w="80"/>
              <w:right w:type="dxa" w:w="100"/>
            </w:tcMar>
            <w:vAlign w:val="center"/>
          </w:tcPr>
          <w:p>
            <w:pPr>
              <w:jc w:val="center"/>
            </w:pPr>
            <w:r>
              <w:rPr>
                <w:b w:val="false"/>
                <w:bCs w:val="false"/>
                <w:color w:val="222222"/>
                <w:sz w:val="19"/>
                <w:szCs w:val="19"/>
              </w:rPr>
              <w:t xml:space="preserve">Array of decisions &amp; summary telemetry</w:t>
            </w:r>
          </w:p>
        </w:tc>
      </w:tr>
    </w:tbl>
    <w:p>
      <w:pPr>
        <w:spacing w:after="160"/>
      </w:pPr>
    </w:p>
    <w:p>
      <w:pPr>
        <w:spacing w:after="180" w:line="276"/>
      </w:pPr>
      <w:r>
        <w:rPr>
          <w:sz w:val="21"/>
          <w:szCs w:val="21"/>
        </w:rPr>
        <w:t xml:space="preserve">Interactive OpenAPI documentation is automatically available at </w:t>
      </w:r>
      <w:r>
        <w:rPr>
          <w:rFonts w:ascii="Consolas" w:cs="Consolas" w:eastAsia="Consolas" w:hAnsi="Consolas"/>
          <w:sz w:val="20"/>
          <w:szCs w:val="20"/>
        </w:rPr>
        <w:t xml:space="preserve">http://127.0.0.1:8000/docs</w:t>
      </w:r>
      <w:r>
        <w:rPr>
          <w:sz w:val="21"/>
          <w:szCs w:val="21"/>
        </w:rPr>
        <w:t xml:space="preserve">.</w:t>
      </w:r>
    </w:p>
    <w:p>
      <w:pPr>
        <w:pStyle w:val="Heading1"/>
        <w:pBdr>
          <w:bottom w:val="single" w:color="1B2A4A" w:sz="8" w:space="4"/>
        </w:pBdr>
        <w:spacing w:after="200" w:before="400"/>
      </w:pPr>
      <w:r>
        <w:rPr>
          <w:b/>
          <w:bCs/>
          <w:color w:val="1B2A4A"/>
          <w:sz w:val="30"/>
          <w:szCs w:val="30"/>
        </w:rPr>
        <w:t xml:space="preserve">11. Interactive Frontend Architecture</w:t>
      </w:r>
    </w:p>
    <w:p>
      <w:pPr>
        <w:spacing w:after="180" w:line="276"/>
      </w:pPr>
      <w:r>
        <w:rPr>
          <w:sz w:val="21"/>
          <w:szCs w:val="21"/>
        </w:rPr>
        <w:t xml:space="preserve">The frontend (</w:t>
      </w:r>
      <w:r>
        <w:rPr>
          <w:rFonts w:ascii="Consolas" w:cs="Consolas" w:eastAsia="Consolas" w:hAnsi="Consolas"/>
          <w:sz w:val="20"/>
          <w:szCs w:val="20"/>
        </w:rPr>
        <w:t xml:space="preserve">frontend/index.html</w:t>
      </w:r>
      <w:r>
        <w:rPr>
          <w:sz w:val="21"/>
          <w:szCs w:val="21"/>
        </w:rPr>
        <w:t xml:space="preserve">) is a responsive, single-page application served on </w:t>
      </w:r>
      <w:r>
        <w:rPr>
          <w:rFonts w:ascii="Consolas" w:cs="Consolas" w:eastAsia="Consolas" w:hAnsi="Consolas"/>
          <w:sz w:val="20"/>
          <w:szCs w:val="20"/>
        </w:rPr>
        <w:t xml:space="preserve">http://localhost:3000</w:t>
      </w:r>
      <w:r>
        <w:rPr>
          <w:sz w:val="21"/>
          <w:szCs w:val="21"/>
        </w:rPr>
        <w:t xml:space="preserve">:</w:t>
      </w:r>
    </w:p>
    <w:p>
      <w:pPr>
        <w:pStyle w:val="ListParagraph"/>
        <w:numPr>
          <w:ilvl w:val="0"/>
          <w:numId w:val="2"/>
        </w:numPr>
        <w:spacing w:after="90"/>
      </w:pPr>
      <w:r>
        <w:rPr>
          <w:b/>
          <w:bCs/>
          <w:sz w:val="21"/>
          <w:szCs w:val="21"/>
        </w:rPr>
        <w:t xml:space="preserve">Command Center: </w:t>
      </w:r>
      <w:r>
        <w:rPr>
          <w:sz w:val="21"/>
          <w:szCs w:val="21"/>
        </w:rPr>
        <w:t xml:space="preserve">Real-time transaction stream, threat telemetry counters, radar charts, and live security audit logs.</w:t>
      </w:r>
    </w:p>
    <w:p>
      <w:pPr>
        <w:pStyle w:val="ListParagraph"/>
        <w:numPr>
          <w:ilvl w:val="0"/>
          <w:numId w:val="2"/>
        </w:numPr>
        <w:spacing w:after="90"/>
      </w:pPr>
      <w:r>
        <w:rPr>
          <w:b/>
          <w:bCs/>
          <w:sz w:val="21"/>
          <w:szCs w:val="21"/>
        </w:rPr>
        <w:t xml:space="preserve">Attack Lab: </w:t>
      </w:r>
      <w:r>
        <w:rPr>
          <w:sz w:val="21"/>
          <w:szCs w:val="21"/>
        </w:rPr>
        <w:t xml:space="preserve">Interactive 10-dimensional genome builder, mutation intensity slider, and live detector testing.</w:t>
      </w:r>
    </w:p>
    <w:p>
      <w:pPr>
        <w:pStyle w:val="ListParagraph"/>
        <w:numPr>
          <w:ilvl w:val="0"/>
          <w:numId w:val="2"/>
        </w:numPr>
        <w:spacing w:after="90"/>
      </w:pPr>
      <w:r>
        <w:rPr>
          <w:b/>
          <w:bCs/>
          <w:sz w:val="21"/>
          <w:szCs w:val="21"/>
        </w:rPr>
        <w:t xml:space="preserve">Defense Lab: </w:t>
      </w:r>
      <w:r>
        <w:rPr>
          <w:sz w:val="21"/>
          <w:szCs w:val="21"/>
        </w:rPr>
        <w:t xml:space="preserve">Side-by-side comparison of baseline detector vs. hardened detector, 9-stage adaptive pipeline animation, and empirical generalization metrics.</w:t>
      </w:r>
    </w:p>
    <w:p>
      <w:pPr>
        <w:pStyle w:val="ListParagraph"/>
        <w:numPr>
          <w:ilvl w:val="0"/>
          <w:numId w:val="2"/>
        </w:numPr>
        <w:spacing w:after="90"/>
      </w:pPr>
      <w:r>
        <w:rPr>
          <w:b/>
          <w:bCs/>
          <w:sz w:val="21"/>
          <w:szCs w:val="21"/>
        </w:rPr>
        <w:t xml:space="preserve">Attack Genome Matrix: </w:t>
      </w:r>
      <w:r>
        <w:rPr>
          <w:sz w:val="21"/>
          <w:szCs w:val="21"/>
        </w:rPr>
        <w:t xml:space="preserve">Full interactive matrix visualizer for all 28 cataloged archetypes.</w:t>
      </w:r>
    </w:p>
    <w:p>
      <w:pPr>
        <w:pStyle w:val="ListParagraph"/>
        <w:numPr>
          <w:ilvl w:val="0"/>
          <w:numId w:val="2"/>
        </w:numPr>
        <w:spacing w:after="90"/>
      </w:pPr>
      <w:r>
        <w:rPr>
          <w:b/>
          <w:bCs/>
          <w:sz w:val="21"/>
          <w:szCs w:val="21"/>
        </w:rPr>
        <w:t xml:space="preserve">Risk Decision Engine: </w:t>
      </w:r>
      <w:r>
        <w:rPr>
          <w:sz w:val="21"/>
          <w:szCs w:val="21"/>
        </w:rPr>
        <w:t xml:space="preserve">Live single-transaction scoring sandbox, multi-tier policy threshold sliders, and reason code breakdown.</w:t>
      </w:r>
    </w:p>
    <w:p>
      <w:pPr>
        <w:pStyle w:val="ListParagraph"/>
        <w:numPr>
          <w:ilvl w:val="0"/>
          <w:numId w:val="2"/>
        </w:numPr>
        <w:spacing w:after="90"/>
      </w:pPr>
      <w:r>
        <w:rPr>
          <w:b/>
          <w:bCs/>
          <w:sz w:val="21"/>
          <w:szCs w:val="21"/>
        </w:rPr>
        <w:t xml:space="preserve">90-Second Judge Demo: </w:t>
      </w:r>
      <w:r>
        <w:rPr>
          <w:sz w:val="21"/>
          <w:szCs w:val="21"/>
        </w:rPr>
        <w:t xml:space="preserve">Automated step-by-step walkthrough presenting the complete core narrative in under 90 seconds.</w:t>
      </w:r>
    </w:p>
    <w:p>
      <w:pPr>
        <w:pStyle w:val="Heading1"/>
        <w:pBdr>
          <w:bottom w:val="single" w:color="1B2A4A" w:sz="8" w:space="4"/>
        </w:pBdr>
        <w:spacing w:after="200" w:before="400"/>
      </w:pPr>
      <w:r>
        <w:rPr>
          <w:b/>
          <w:bCs/>
          <w:color w:val="1B2A4A"/>
          <w:sz w:val="30"/>
          <w:szCs w:val="30"/>
        </w:rPr>
        <w:t xml:space="preserve">12. Verification &amp; Automated Test Suite</w:t>
      </w:r>
    </w:p>
    <w:p>
      <w:pPr>
        <w:spacing w:after="180" w:line="276"/>
      </w:pPr>
      <w:r>
        <w:rPr>
          <w:color w:val="222222"/>
          <w:sz w:val="21"/>
          <w:szCs w:val="21"/>
        </w:rPr>
        <w:t xml:space="preserve">FraudForge AI includes a comprehensive 72-test test suite executed via pytest:</w:t>
      </w:r>
    </w:p>
    <w:p>
      <w:pPr>
        <w:shd w:fill="1B2A4A" w:color="auto" w:val="clear"/>
        <w:spacing w:after="0" w:line="240"/>
      </w:pPr>
      <w:r>
        <w:rPr>
          <w:rFonts w:ascii="Consolas" w:cs="Consolas" w:eastAsia="Consolas" w:hAnsi="Consolas"/>
          <w:color w:val="E8ECF3"/>
          <w:sz w:val="16"/>
          <w:szCs w:val="16"/>
        </w:rPr>
        <w:t xml:space="preserve">====================== 72 passed in 16.28s ======================</w:t>
      </w:r>
    </w:p>
    <w:p>
      <w:pPr>
        <w:spacing w:after="160"/>
      </w:pPr>
    </w:p>
    <w:p>
      <w:pPr>
        <w:pStyle w:val="ListParagraph"/>
        <w:numPr>
          <w:ilvl w:val="0"/>
          <w:numId w:val="2"/>
        </w:numPr>
        <w:spacing w:after="90"/>
      </w:pPr>
      <w:r>
        <w:rPr>
          <w:b/>
          <w:bCs/>
          <w:sz w:val="21"/>
          <w:szCs w:val="21"/>
        </w:rPr>
        <w:t xml:space="preserve">API Tests (test_api.py): </w:t>
      </w:r>
      <w:r>
        <w:rPr>
          <w:sz w:val="21"/>
          <w:szCs w:val="21"/>
        </w:rPr>
        <w:t xml:space="preserve">Validates health, catalog retrieval, candidate generation, candidate evaluation, defense comparison, and risk scoring.</w:t>
      </w:r>
    </w:p>
    <w:p>
      <w:pPr>
        <w:pStyle w:val="ListParagraph"/>
        <w:numPr>
          <w:ilvl w:val="0"/>
          <w:numId w:val="2"/>
        </w:numPr>
        <w:spacing w:after="90"/>
      </w:pPr>
      <w:r>
        <w:rPr>
          <w:b/>
          <w:bCs/>
          <w:sz w:val="21"/>
          <w:szCs w:val="21"/>
        </w:rPr>
        <w:t xml:space="preserve">Discovery Tests (test_attack_discovery.py, test_attack_genome.py, test_novelty_engine.py): </w:t>
      </w:r>
      <w:r>
        <w:rPr>
          <w:sz w:val="21"/>
          <w:szCs w:val="21"/>
        </w:rPr>
        <w:t xml:space="preserve">Validates genome roundtrip serialization, deterministic genetic operators, scoring bounds, and distance metrics.</w:t>
      </w:r>
    </w:p>
    <w:p>
      <w:pPr>
        <w:pStyle w:val="ListParagraph"/>
        <w:numPr>
          <w:ilvl w:val="0"/>
          <w:numId w:val="2"/>
        </w:numPr>
        <w:spacing w:after="90"/>
      </w:pPr>
      <w:r>
        <w:rPr>
          <w:b/>
          <w:bCs/>
          <w:sz w:val="21"/>
          <w:szCs w:val="21"/>
        </w:rPr>
        <w:t xml:space="preserve">Simulation Tests (test_transaction_generator.py): </w:t>
      </w:r>
      <w:r>
        <w:rPr>
          <w:sz w:val="21"/>
          <w:szCs w:val="21"/>
        </w:rPr>
        <w:t xml:space="preserve">Validates schema invariance, absence of nulls/NaNs, range constraints, and realistic feature divergence.</w:t>
      </w:r>
    </w:p>
    <w:p>
      <w:pPr>
        <w:pStyle w:val="ListParagraph"/>
        <w:numPr>
          <w:ilvl w:val="0"/>
          <w:numId w:val="2"/>
        </w:numPr>
        <w:spacing w:after="90"/>
      </w:pPr>
      <w:r>
        <w:rPr>
          <w:b/>
          <w:bCs/>
          <w:sz w:val="21"/>
          <w:szCs w:val="21"/>
        </w:rPr>
        <w:t xml:space="preserve">Detection &amp; Policy Tests: </w:t>
      </w:r>
      <w:r>
        <w:rPr>
          <w:sz w:val="21"/>
          <w:szCs w:val="21"/>
        </w:rPr>
        <w:t xml:space="preserve">(test_detection.py, test_feature_engineering.py, test_risk_engine.py, test_threshold_analysis.py) Validates XGBoost training/inference, probability calibration, risk tier ordering, and reason code generation.</w:t>
      </w:r>
    </w:p>
    <w:p>
      <w:pPr>
        <w:pStyle w:val="ListParagraph"/>
        <w:numPr>
          <w:ilvl w:val="0"/>
          <w:numId w:val="2"/>
        </w:numPr>
        <w:spacing w:after="90"/>
      </w:pPr>
      <w:r>
        <w:rPr>
          <w:b/>
          <w:bCs/>
          <w:sz w:val="21"/>
          <w:szCs w:val="21"/>
        </w:rPr>
        <w:t xml:space="preserve">Adversarial Loop Tests: </w:t>
      </w:r>
      <w:r>
        <w:rPr>
          <w:sz w:val="21"/>
          <w:szCs w:val="21"/>
        </w:rPr>
        <w:t xml:space="preserve">(test_feedback_loop.py, test_zero_day_hardening.py, test_benchmarks.py) Validates 3-dataset closed-loop retraining, Gen-2 creation, and target leakage prevention.</w:t>
      </w:r>
    </w:p>
    <w:p>
      <w:pPr>
        <w:pStyle w:val="Heading1"/>
        <w:pBdr>
          <w:bottom w:val="single" w:color="1B2A4A" w:sz="8" w:space="4"/>
        </w:pBdr>
        <w:spacing w:after="200" w:before="400"/>
      </w:pPr>
      <w:r>
        <w:rPr>
          <w:b/>
          <w:bCs/>
          <w:color w:val="1B2A4A"/>
          <w:sz w:val="30"/>
          <w:szCs w:val="30"/>
        </w:rPr>
        <w:t xml:space="preserve">13. Limitations &amp; Future Work</w:t>
      </w:r>
    </w:p>
    <w:p>
      <w:pPr>
        <w:pStyle w:val="Heading2"/>
        <w:spacing w:after="160" w:before="320"/>
      </w:pPr>
      <w:r>
        <w:rPr>
          <w:b/>
          <w:bCs/>
          <w:color w:val="8E2418"/>
          <w:sz w:val="24"/>
          <w:szCs w:val="24"/>
        </w:rPr>
        <w:t xml:space="preserve">Limitations</w:t>
      </w:r>
    </w:p>
    <w:p>
      <w:pPr>
        <w:pStyle w:val="ListParagraph"/>
        <w:numPr>
          <w:ilvl w:val="0"/>
          <w:numId w:val="3"/>
        </w:numPr>
        <w:spacing w:after="90"/>
      </w:pPr>
      <w:r>
        <w:rPr>
          <w:b/>
          <w:bCs/>
          <w:sz w:val="21"/>
          <w:szCs w:val="21"/>
        </w:rPr>
        <w:t xml:space="preserve">Synthetic Data Boundaries: </w:t>
      </w:r>
      <w:r>
        <w:rPr>
          <w:sz w:val="21"/>
          <w:szCs w:val="21"/>
        </w:rPr>
        <w:t xml:space="preserve">While generator distributions have been calibrated for realistic variance and heavy-tail overlap, real-world cardholder behavior exhibits complex temporal and macroeconomic shifts.</w:t>
      </w:r>
    </w:p>
    <w:p>
      <w:pPr>
        <w:pStyle w:val="ListParagraph"/>
        <w:numPr>
          <w:ilvl w:val="0"/>
          <w:numId w:val="3"/>
        </w:numPr>
        <w:spacing w:after="90"/>
      </w:pPr>
      <w:r>
        <w:rPr>
          <w:b/>
          <w:bCs/>
          <w:sz w:val="21"/>
          <w:szCs w:val="21"/>
        </w:rPr>
        <w:t xml:space="preserve">Tabular Feature Representation: </w:t>
      </w:r>
      <w:r>
        <w:rPr>
          <w:sz w:val="21"/>
          <w:szCs w:val="21"/>
        </w:rPr>
        <w:t xml:space="preserve">The current architecture evaluates structured tabular telemetry. Future implementations could incorporate graph neural networks (GNNs) for multi-entity mule network analysis.</w:t>
      </w:r>
    </w:p>
    <w:p>
      <w:pPr>
        <w:pStyle w:val="ListParagraph"/>
        <w:numPr>
          <w:ilvl w:val="0"/>
          <w:numId w:val="3"/>
        </w:numPr>
        <w:spacing w:after="90"/>
      </w:pPr>
      <w:r>
        <w:rPr>
          <w:b/>
          <w:bCs/>
          <w:sz w:val="21"/>
          <w:szCs w:val="21"/>
        </w:rPr>
        <w:t xml:space="preserve">Static Adversarial Feedback: </w:t>
      </w:r>
      <w:r>
        <w:rPr>
          <w:sz w:val="21"/>
          <w:szCs w:val="21"/>
        </w:rPr>
        <w:t xml:space="preserve">Red-team exploration is driven by genetic algorithms and heuristics rather than deep reinforcement learning agents.</w:t>
      </w:r>
    </w:p>
    <w:p>
      <w:pPr>
        <w:pStyle w:val="Heading2"/>
        <w:spacing w:after="160" w:before="320"/>
      </w:pPr>
      <w:r>
        <w:rPr>
          <w:b/>
          <w:bCs/>
          <w:color w:val="8E2418"/>
          <w:sz w:val="24"/>
          <w:szCs w:val="24"/>
        </w:rPr>
        <w:t xml:space="preserve">Future Roadmap</w:t>
      </w:r>
    </w:p>
    <w:p>
      <w:pPr>
        <w:pStyle w:val="ListParagraph"/>
        <w:numPr>
          <w:ilvl w:val="0"/>
          <w:numId w:val="3"/>
        </w:numPr>
        <w:spacing w:after="90"/>
      </w:pPr>
      <w:r>
        <w:rPr>
          <w:b/>
          <w:bCs/>
          <w:sz w:val="21"/>
          <w:szCs w:val="21"/>
        </w:rPr>
        <w:t xml:space="preserve">Multi-Agent Reinforcement Learning (MARL): </w:t>
      </w:r>
      <w:r>
        <w:rPr>
          <w:sz w:val="21"/>
          <w:szCs w:val="21"/>
        </w:rPr>
        <w:t xml:space="preserve">Deploy competitive LLM/RL agents playing a continuous minimax game over payment authorization graph embeddings.</w:t>
      </w:r>
    </w:p>
    <w:p>
      <w:pPr>
        <w:pStyle w:val="ListParagraph"/>
        <w:numPr>
          <w:ilvl w:val="0"/>
          <w:numId w:val="3"/>
        </w:numPr>
        <w:spacing w:after="90"/>
      </w:pPr>
      <w:r>
        <w:rPr>
          <w:b/>
          <w:bCs/>
          <w:sz w:val="21"/>
          <w:szCs w:val="21"/>
        </w:rPr>
        <w:t xml:space="preserve">Graph-Level Payment Swarm Detection: </w:t>
      </w:r>
      <w:r>
        <w:rPr>
          <w:sz w:val="21"/>
          <w:szCs w:val="21"/>
        </w:rPr>
        <w:t xml:space="preserve">Extend the 10-dimensional genome to model multi-hop account topology and distributed money mule networks.</w:t>
      </w:r>
    </w:p>
    <w:p>
      <w:pPr>
        <w:pStyle w:val="ListParagraph"/>
        <w:numPr>
          <w:ilvl w:val="0"/>
          <w:numId w:val="3"/>
        </w:numPr>
        <w:spacing w:after="90"/>
      </w:pPr>
      <w:r>
        <w:rPr>
          <w:b/>
          <w:bCs/>
          <w:sz w:val="21"/>
          <w:szCs w:val="21"/>
        </w:rPr>
        <w:t xml:space="preserve">Federated Adversarial Learning: </w:t>
      </w:r>
      <w:r>
        <w:rPr>
          <w:sz w:val="21"/>
          <w:szCs w:val="21"/>
        </w:rPr>
        <w:t xml:space="preserve">Enable privacy-preserving cross-bank collaboration where synthetic blind-spot vectors are shared without exposing raw customer data.</w:t>
      </w:r>
    </w:p>
    <w:p>
      <w:pPr>
        <w:pStyle w:val="Heading1"/>
        <w:pBdr>
          <w:bottom w:val="single" w:color="1B2A4A" w:sz="8" w:space="4"/>
        </w:pBdr>
        <w:spacing w:after="200" w:before="400"/>
      </w:pPr>
      <w:r>
        <w:rPr>
          <w:b/>
          <w:bCs/>
          <w:color w:val="1B2A4A"/>
          <w:sz w:val="30"/>
          <w:szCs w:val="30"/>
        </w:rPr>
        <w:t xml:space="preserve">14. Conclusion</w:t>
      </w:r>
    </w:p>
    <w:p>
      <w:pPr>
        <w:spacing w:after="180" w:line="276"/>
      </w:pPr>
      <w:r>
        <w:rPr>
          <w:color w:val="222222"/>
          <w:sz w:val="21"/>
          <w:szCs w:val="21"/>
        </w:rPr>
        <w:t xml:space="preserve">FraudForge AI provides a concrete, empirical answer to the challenge of Generative AI payment fraud. By structuring attacks into a 10-dimensional genome, discovering detector blind spots algorithmically, and executing adaptive retraining, FraudForge AI transforms fraud prevention from a reactive post-loss investigation into a proactive, self-hardening defense system.</w:t>
      </w:r>
    </w:p>
    <w:p>
      <w:pPr>
        <w:spacing w:after="180" w:line="276"/>
      </w:pPr>
      <w:r>
        <w:rPr>
          <w:b/>
          <w:bCs/>
          <w:sz w:val="21"/>
          <w:szCs w:val="21"/>
        </w:rPr>
        <w:t xml:space="preserve">Verified at 93.80% recall (+70.70 pt gain) on completely unseen Generation-2 attacks, </w:t>
      </w:r>
      <w:r>
        <w:rPr>
          <w:sz w:val="21"/>
          <w:szCs w:val="21"/>
        </w:rPr>
        <w:t xml:space="preserve">FraudForge AI proves that machine learning models can anticipate and neutralize adversarial payment techniques before they reach production payment networks.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6"/>
        <w:szCs w:val="16"/>
      </w:rPr>
      <w:t xml:space="preserve">FraudForge AI  ·  GFF 2026 Innovation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FraudForge AI — Comprehensive Solution Walkthrough</dc:title>
  <dc:creator>FraudForge AI Team</dc:creator>
  <dc:description>Mastercard Innovation Challenge @ Global Fintech Fest (GFF) 2026</dc:description>
  <cp:lastModifiedBy>Un-named</cp:lastModifiedBy>
  <cp:revision>1</cp:revision>
  <dcterms:created xsi:type="dcterms:W3CDTF">2026-08-31T16:16:53.625Z</dcterms:created>
  <dcterms:modified xsi:type="dcterms:W3CDTF">2026-08-31T16:16:53.626Z</dcterms:modified>
</cp:coreProperties>
</file>

<file path=docProps/custom.xml><?xml version="1.0" encoding="utf-8"?>
<Properties xmlns="http://schemas.openxmlformats.org/officeDocument/2006/custom-properties" xmlns:vt="http://schemas.openxmlformats.org/officeDocument/2006/docPropsVTypes"/>
</file>