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i w:val="0"/>
          <w:color w:val="0B2545"/>
          <w:sz w:val="46"/>
        </w:rPr>
        <w:t>ARCHITECTURE DETAILED DESIGN</w:t>
      </w:r>
    </w:p>
    <w:p>
      <w:pPr>
        <w:spacing w:after="320"/>
      </w:pPr>
      <w:r>
        <w:rPr>
          <w:rFonts w:ascii="Calibri" w:hAnsi="Calibri"/>
          <w:b w:val="0"/>
          <w:i w:val="0"/>
          <w:color w:val="5B6573"/>
          <w:sz w:val="30"/>
        </w:rPr>
        <w:t>AlphaOpen Tennis League Progressive Web Application</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700"/>
        <w:gridCol w:w="6660"/>
      </w:tblGrid>
      <w:tr>
        <w:trPr>
          <w:tblHeader w:val="true"/>
        </w:trPr>
        <w:tc>
          <w:tcPr>
            <w:tcW w:type="dxa" w:w="2700"/>
            <w:tcMar>
              <w:top w:w="80" w:type="dxa"/>
              <w:start w:w="120" w:type="dxa"/>
              <w:bottom w:w="80" w:type="dxa"/>
              <w:end w:w="120" w:type="dxa"/>
            </w:tcMar>
            <w:vAlign w:val="center"/>
            <w:shd w:fill="E8EEF5"/>
          </w:tcPr>
          <w:p>
            <w:pPr>
              <w:spacing w:after="0" w:line="252" w:lineRule="auto"/>
            </w:pPr>
            <w:r>
              <w:rPr>
                <w:rFonts w:ascii="Calibri" w:hAnsi="Calibri"/>
                <w:b/>
                <w:i w:val="0"/>
                <w:color w:val="0B2545"/>
                <w:sz w:val="19"/>
              </w:rPr>
              <w:t>Control</w:t>
            </w:r>
          </w:p>
        </w:tc>
        <w:tc>
          <w:tcPr>
            <w:tcW w:type="dxa" w:w="6660"/>
            <w:tcMar>
              <w:top w:w="80" w:type="dxa"/>
              <w:start w:w="120" w:type="dxa"/>
              <w:bottom w:w="80" w:type="dxa"/>
              <w:end w:w="120" w:type="dxa"/>
            </w:tcMar>
            <w:vAlign w:val="center"/>
            <w:shd w:fill="E8EEF5"/>
          </w:tcPr>
          <w:p>
            <w:pPr>
              <w:spacing w:after="0" w:line="252" w:lineRule="auto"/>
            </w:pPr>
            <w:r>
              <w:rPr>
                <w:rFonts w:ascii="Calibri" w:hAnsi="Calibri"/>
                <w:b/>
                <w:i w:val="0"/>
                <w:color w:val="0B2545"/>
                <w:sz w:val="19"/>
              </w:rPr>
              <w:t>Value</w:t>
            </w:r>
          </w:p>
        </w:tc>
      </w:tr>
      <w:tr>
        <w:tc>
          <w:tcPr>
            <w:tcW w:type="dxa" w:w="2700"/>
          </w:tcPr>
          <w:p>
            <w:pPr>
              <w:spacing w:after="0" w:line="252" w:lineRule="auto"/>
            </w:pPr>
            <w:r>
              <w:rPr>
                <w:rFonts w:ascii="Calibri" w:hAnsi="Calibri"/>
                <w:b w:val="0"/>
                <w:i w:val="0"/>
                <w:color w:val="111111"/>
                <w:sz w:val="19"/>
              </w:rPr>
              <w:t>Document status</w:t>
            </w:r>
          </w:p>
        </w:tc>
        <w:tc>
          <w:tcPr>
            <w:tcW w:type="dxa" w:w="6660"/>
          </w:tcPr>
          <w:p>
            <w:pPr>
              <w:spacing w:after="0" w:line="252" w:lineRule="auto"/>
            </w:pPr>
            <w:r>
              <w:rPr>
                <w:rFonts w:ascii="Calibri" w:hAnsi="Calibri"/>
                <w:b w:val="0"/>
                <w:i w:val="0"/>
                <w:color w:val="111111"/>
                <w:sz w:val="19"/>
              </w:rPr>
              <w:t>Proposed for Architecture Review Board</w:t>
            </w:r>
          </w:p>
        </w:tc>
      </w:tr>
      <w:tr>
        <w:tc>
          <w:tcPr>
            <w:tcW w:type="dxa" w:w="2700"/>
          </w:tcPr>
          <w:p>
            <w:pPr>
              <w:spacing w:after="0" w:line="252" w:lineRule="auto"/>
            </w:pPr>
            <w:r>
              <w:rPr>
                <w:rFonts w:ascii="Calibri" w:hAnsi="Calibri"/>
                <w:b w:val="0"/>
                <w:i w:val="0"/>
                <w:color w:val="111111"/>
                <w:sz w:val="19"/>
              </w:rPr>
              <w:t>Version</w:t>
            </w:r>
          </w:p>
        </w:tc>
        <w:tc>
          <w:tcPr>
            <w:tcW w:type="dxa" w:w="6660"/>
          </w:tcPr>
          <w:p>
            <w:pPr>
              <w:spacing w:after="0" w:line="252" w:lineRule="auto"/>
            </w:pPr>
            <w:r>
              <w:rPr>
                <w:rFonts w:ascii="Calibri" w:hAnsi="Calibri"/>
                <w:b w:val="0"/>
                <w:i w:val="0"/>
                <w:color w:val="111111"/>
                <w:sz w:val="19"/>
              </w:rPr>
              <w:t>1.0</w:t>
            </w:r>
          </w:p>
        </w:tc>
      </w:tr>
      <w:tr>
        <w:tc>
          <w:tcPr>
            <w:tcW w:type="dxa" w:w="2700"/>
          </w:tcPr>
          <w:p>
            <w:pPr>
              <w:spacing w:after="0" w:line="252" w:lineRule="auto"/>
            </w:pPr>
            <w:r>
              <w:rPr>
                <w:rFonts w:ascii="Calibri" w:hAnsi="Calibri"/>
                <w:b w:val="0"/>
                <w:i w:val="0"/>
                <w:color w:val="111111"/>
                <w:sz w:val="19"/>
              </w:rPr>
              <w:t>Review date</w:t>
            </w:r>
          </w:p>
        </w:tc>
        <w:tc>
          <w:tcPr>
            <w:tcW w:type="dxa" w:w="6660"/>
          </w:tcPr>
          <w:p>
            <w:pPr>
              <w:spacing w:after="0" w:line="252" w:lineRule="auto"/>
            </w:pPr>
            <w:r>
              <w:rPr>
                <w:rFonts w:ascii="Calibri" w:hAnsi="Calibri"/>
                <w:b w:val="0"/>
                <w:i w:val="0"/>
                <w:color w:val="111111"/>
                <w:sz w:val="19"/>
              </w:rPr>
              <w:t>July 26, 2026</w:t>
            </w:r>
          </w:p>
        </w:tc>
      </w:tr>
      <w:tr>
        <w:tc>
          <w:tcPr>
            <w:tcW w:type="dxa" w:w="2700"/>
          </w:tcPr>
          <w:p>
            <w:pPr>
              <w:spacing w:after="0" w:line="252" w:lineRule="auto"/>
            </w:pPr>
            <w:r>
              <w:rPr>
                <w:rFonts w:ascii="Calibri" w:hAnsi="Calibri"/>
                <w:b w:val="0"/>
                <w:i w:val="0"/>
                <w:color w:val="111111"/>
                <w:sz w:val="19"/>
              </w:rPr>
              <w:t>System</w:t>
            </w:r>
          </w:p>
        </w:tc>
        <w:tc>
          <w:tcPr>
            <w:tcW w:type="dxa" w:w="6660"/>
          </w:tcPr>
          <w:p>
            <w:pPr>
              <w:spacing w:after="0" w:line="252" w:lineRule="auto"/>
            </w:pPr>
            <w:r>
              <w:rPr>
                <w:rFonts w:ascii="Calibri" w:hAnsi="Calibri"/>
                <w:b w:val="0"/>
                <w:i w:val="0"/>
                <w:color w:val="111111"/>
                <w:sz w:val="19"/>
              </w:rPr>
              <w:t>AlphaOpen Tennis League</w:t>
            </w:r>
          </w:p>
        </w:tc>
      </w:tr>
      <w:tr>
        <w:tc>
          <w:tcPr>
            <w:tcW w:type="dxa" w:w="2700"/>
          </w:tcPr>
          <w:p>
            <w:pPr>
              <w:spacing w:after="0" w:line="252" w:lineRule="auto"/>
            </w:pPr>
            <w:r>
              <w:rPr>
                <w:rFonts w:ascii="Calibri" w:hAnsi="Calibri"/>
                <w:b w:val="0"/>
                <w:i w:val="0"/>
                <w:color w:val="111111"/>
                <w:sz w:val="19"/>
              </w:rPr>
              <w:t>Production project</w:t>
            </w:r>
          </w:p>
        </w:tc>
        <w:tc>
          <w:tcPr>
            <w:tcW w:type="dxa" w:w="6660"/>
          </w:tcPr>
          <w:p>
            <w:pPr>
              <w:spacing w:after="0" w:line="252" w:lineRule="auto"/>
            </w:pPr>
            <w:r>
              <w:rPr>
                <w:rFonts w:ascii="Calibri" w:hAnsi="Calibri"/>
                <w:b w:val="0"/>
                <w:i w:val="0"/>
                <w:color w:val="111111"/>
                <w:sz w:val="19"/>
              </w:rPr>
              <w:t>alphaopen-development-2026</w:t>
            </w:r>
          </w:p>
        </w:tc>
      </w:tr>
      <w:tr>
        <w:tc>
          <w:tcPr>
            <w:tcW w:type="dxa" w:w="2700"/>
          </w:tcPr>
          <w:p>
            <w:pPr>
              <w:spacing w:after="0" w:line="252" w:lineRule="auto"/>
            </w:pPr>
            <w:r>
              <w:rPr>
                <w:rFonts w:ascii="Calibri" w:hAnsi="Calibri"/>
                <w:b w:val="0"/>
                <w:i w:val="0"/>
                <w:color w:val="111111"/>
                <w:sz w:val="19"/>
              </w:rPr>
              <w:t>Current hosting</w:t>
            </w:r>
          </w:p>
        </w:tc>
        <w:tc>
          <w:tcPr>
            <w:tcW w:type="dxa" w:w="6660"/>
          </w:tcPr>
          <w:p>
            <w:pPr>
              <w:spacing w:after="0" w:line="252" w:lineRule="auto"/>
            </w:pPr>
            <w:r>
              <w:rPr>
                <w:rFonts w:ascii="Calibri" w:hAnsi="Calibri"/>
                <w:b w:val="0"/>
                <w:i w:val="0"/>
                <w:color w:val="111111"/>
                <w:sz w:val="19"/>
              </w:rPr>
              <w:t>https://alphaopen-development-2026.web.app</w:t>
            </w:r>
          </w:p>
        </w:tc>
      </w:tr>
      <w:tr>
        <w:tc>
          <w:tcPr>
            <w:tcW w:type="dxa" w:w="2700"/>
          </w:tcPr>
          <w:p>
            <w:pPr>
              <w:spacing w:after="0" w:line="252" w:lineRule="auto"/>
            </w:pPr>
            <w:r>
              <w:rPr>
                <w:rFonts w:ascii="Calibri" w:hAnsi="Calibri"/>
                <w:b w:val="0"/>
                <w:i w:val="0"/>
                <w:color w:val="111111"/>
                <w:sz w:val="19"/>
              </w:rPr>
              <w:t>Architecture posture</w:t>
            </w:r>
          </w:p>
        </w:tc>
        <w:tc>
          <w:tcPr>
            <w:tcW w:type="dxa" w:w="6660"/>
          </w:tcPr>
          <w:p>
            <w:pPr>
              <w:spacing w:after="0" w:line="252" w:lineRule="auto"/>
            </w:pPr>
            <w:r>
              <w:rPr>
                <w:rFonts w:ascii="Calibri" w:hAnsi="Calibri"/>
                <w:b w:val="0"/>
                <w:i w:val="0"/>
                <w:color w:val="111111"/>
                <w:sz w:val="19"/>
              </w:rPr>
              <w:t>Firebase Spark-safe, client-mediated transactions</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FF5D6"/>
          <w:left w:val="single" w:sz="4" w:space="0" w:color="FFF5D6"/>
          <w:bottom w:val="single" w:sz="4" w:space="0" w:color="FFF5D6"/>
          <w:right w:val="single" w:sz="4" w:space="0" w:color="FFF5D6"/>
          <w:insideH w:val="single" w:sz="4" w:space="0" w:color="FFF5D6"/>
          <w:insideV w:val="single" w:sz="4" w:space="0" w:color="FFF5D6"/>
        </w:tblBorders>
      </w:tblPr>
      <w:tblGrid>
        <w:gridCol w:w="9360"/>
      </w:tblGrid>
      <w:tr>
        <w:tc>
          <w:tcPr>
            <w:tcW w:type="dxa" w:w="9360"/>
            <w:tcMar>
              <w:top w:w="80" w:type="dxa"/>
              <w:start w:w="120" w:type="dxa"/>
              <w:bottom w:w="80" w:type="dxa"/>
              <w:end w:w="120" w:type="dxa"/>
            </w:tcMar>
            <w:vAlign w:val="center"/>
            <w:shd w:fill="FFF5D6"/>
          </w:tcPr>
          <w:p>
            <w:pPr>
              <w:spacing w:after="0"/>
            </w:pPr>
            <w:r>
              <w:rPr>
                <w:rFonts w:ascii="Calibri" w:hAnsi="Calibri"/>
                <w:b/>
                <w:i w:val="0"/>
                <w:color w:val="7A5A00"/>
                <w:sz w:val="22"/>
              </w:rPr>
              <w:t xml:space="preserve">ARB recommendation: </w:t>
            </w:r>
            <w:r>
              <w:rPr>
                <w:rFonts w:ascii="Calibri" w:hAnsi="Calibri"/>
                <w:b w:val="0"/>
                <w:i w:val="0"/>
                <w:color w:val="111111"/>
                <w:sz w:val="22"/>
              </w:rPr>
              <w:t>Approve the current Spark-safe architecture as an interim operating model, subject to the controls and remediation plan in Section 15. The design is suitable for a trusted, small league administration model but is not the recommended final state for high-assurance or materially scaled operations.</w:t>
            </w:r>
          </w:p>
        </w:tc>
      </w:tr>
    </w:tbl>
    <w:p>
      <w:pPr>
        <w:spacing w:after="40"/>
      </w:pPr>
    </w:p>
    <w:p>
      <w:pPr>
        <w:pStyle w:val="Heading1"/>
        <w:keepNext/>
      </w:pPr>
      <w:r>
        <w:t>Decision requested</w:t>
      </w:r>
    </w:p>
    <w:p>
      <w:pPr>
        <w:pStyle w:val="ListBullet"/>
      </w:pPr>
      <w:r>
        <w:rPr>
          <w:rFonts w:ascii="Calibri" w:hAnsi="Calibri"/>
          <w:b w:val="0"/>
          <w:i w:val="0"/>
          <w:color w:val="111111"/>
          <w:sz w:val="22"/>
        </w:rPr>
        <w:t>Approve the current Firebase Hosting, Authentication, Firestore, and PWA architecture for controlled production use.</w:t>
      </w:r>
    </w:p>
    <w:p>
      <w:pPr>
        <w:pStyle w:val="ListBullet"/>
      </w:pPr>
      <w:r>
        <w:rPr>
          <w:rFonts w:ascii="Calibri" w:hAnsi="Calibri"/>
          <w:b w:val="0"/>
          <w:i w:val="0"/>
          <w:color w:val="111111"/>
          <w:sz w:val="22"/>
        </w:rPr>
        <w:t>Approve the team-level lineup workflow and the Spark-safe transaction pattern as the current system of record behavior.</w:t>
      </w:r>
    </w:p>
    <w:p>
      <w:pPr>
        <w:pStyle w:val="ListBullet"/>
      </w:pPr>
      <w:r>
        <w:rPr>
          <w:rFonts w:ascii="Calibri" w:hAnsi="Calibri"/>
          <w:b w:val="0"/>
          <w:i w:val="0"/>
          <w:color w:val="111111"/>
          <w:sz w:val="22"/>
        </w:rPr>
        <w:t>Accept the documented residual risks of privileged client execution, especially exceptional lineup reset validation.</w:t>
      </w:r>
    </w:p>
    <w:p>
      <w:pPr>
        <w:pStyle w:val="ListBullet"/>
      </w:pPr>
      <w:r>
        <w:rPr>
          <w:rFonts w:ascii="Calibri" w:hAnsi="Calibri"/>
          <w:b w:val="0"/>
          <w:i w:val="0"/>
          <w:color w:val="111111"/>
          <w:sz w:val="22"/>
        </w:rPr>
        <w:t>Approve the future Blaze migration pattern without requiring a Firestore data migration.</w:t>
      </w:r>
    </w:p>
    <w:p>
      <w:pPr>
        <w:pStyle w:val="ListBullet"/>
      </w:pPr>
      <w:r>
        <w:rPr>
          <w:rFonts w:ascii="Calibri" w:hAnsi="Calibri"/>
          <w:b w:val="0"/>
          <w:i w:val="0"/>
          <w:color w:val="111111"/>
          <w:sz w:val="22"/>
        </w:rPr>
        <w:t>Assign owners and target dates for the conditions of approval.</w:t>
      </w:r>
    </w:p>
    <w:p>
      <w:pPr>
        <w:pStyle w:val="Heading1"/>
        <w:keepNext/>
      </w:pPr>
      <w:r>
        <w:t>Document purpose and evidence base</w:t>
      </w:r>
    </w:p>
    <w:p>
      <w:pPr/>
      <w:r>
        <w:rPr>
          <w:rFonts w:ascii="Calibri" w:hAnsi="Calibri"/>
          <w:b w:val="0"/>
          <w:i w:val="0"/>
          <w:color w:val="111111"/>
          <w:sz w:val="22"/>
        </w:rPr>
        <w:t>This document describes the as-built application architecture, data model, security model, operational workflows, deployment topology, and planned evolution. It is based on the deployed source configuration and the repository artifacts ALPHAOPEN_APP_SPEC.md, FIRESTORE_DATA_MODEL.md, firebase.json, firestore.rules, firestore.indexes.json, manifest.webmanifest, the route and feature modules, and the Spark-safe lineup workflow implementation.</w:t>
      </w:r>
    </w:p>
    <w:p>
      <w:pPr>
        <w:pStyle w:val="Heading1"/>
        <w:keepNext/>
      </w:pPr>
      <w:r>
        <w:t>1. Executive architecture summary</w:t>
      </w:r>
    </w:p>
    <w:p>
      <w:pPr/>
      <w:r>
        <w:rPr>
          <w:rFonts w:ascii="Calibri" w:hAnsi="Calibri"/>
          <w:b w:val="0"/>
          <w:i w:val="0"/>
          <w:color w:val="111111"/>
          <w:sz w:val="22"/>
        </w:rPr>
        <w:t>AlphaOpen is a mobile-first, single-page Progressive Web Application for public league information and authenticated league operations. Static HTML, CSS, JavaScript modules, images, and the service worker are served by Firebase Hosting. Google Authentication establishes identity. Cloud Firestore is the operational and public data store. Firestore Security Rules are the primary authorization and workflow enforcement layer.</w:t>
      </w:r>
    </w:p>
    <w:p>
      <w:pPr/>
      <w:r>
        <w:rPr>
          <w:rFonts w:ascii="Calibri" w:hAnsi="Calibri"/>
          <w:b w:val="0"/>
          <w:i w:val="0"/>
          <w:color w:val="111111"/>
          <w:sz w:val="22"/>
        </w:rPr>
        <w:t>The application currently operates on the Firebase Spark plan. There is no deployed trusted application server. Standard create, update, approval, publication, and reset actions execute in the browser using Firestore transactions or batched writes. The security design therefore combines role data, immutable snapshots on matchup records, strict document transition rules, and create-only audit/revision records.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500"/>
        <w:gridCol w:w="5950"/>
        <w:gridCol w:w="1910"/>
      </w:tblGrid>
      <w:tr>
        <w:trPr>
          <w:tblHeader w:val="true"/>
        </w:trPr>
        <w:tc>
          <w:tcPr>
            <w:tcW w:type="dxa" w:w="15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Layer</w:t>
            </w:r>
          </w:p>
        </w:tc>
        <w:tc>
          <w:tcPr>
            <w:tcW w:type="dxa" w:w="595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Current design</w:t>
            </w:r>
          </w:p>
        </w:tc>
        <w:tc>
          <w:tcPr>
            <w:tcW w:type="dxa" w:w="191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Assessment</w:t>
            </w:r>
          </w:p>
        </w:tc>
      </w:tr>
      <w:tr>
        <w:tc>
          <w:tcPr>
            <w:tcW w:type="dxa" w:w="1500"/>
          </w:tcPr>
          <w:p>
            <w:pPr>
              <w:spacing w:after="0" w:line="252" w:lineRule="auto"/>
            </w:pPr>
            <w:r>
              <w:rPr>
                <w:rFonts w:ascii="Calibri" w:hAnsi="Calibri"/>
                <w:b w:val="0"/>
                <w:i w:val="0"/>
                <w:color w:val="111111"/>
                <w:sz w:val="17"/>
              </w:rPr>
              <w:t>Presentation</w:t>
            </w:r>
          </w:p>
        </w:tc>
        <w:tc>
          <w:tcPr>
            <w:tcW w:type="dxa" w:w="5950"/>
          </w:tcPr>
          <w:p>
            <w:pPr>
              <w:spacing w:after="0" w:line="252" w:lineRule="auto"/>
            </w:pPr>
            <w:r>
              <w:rPr>
                <w:rFonts w:ascii="Calibri" w:hAnsi="Calibri"/>
                <w:b w:val="0"/>
                <w:i w:val="0"/>
                <w:color w:val="111111"/>
                <w:sz w:val="17"/>
              </w:rPr>
              <w:t>Responsive SPA/PWA using HTML, CSS, JavaScript modules and route-based lazy loading</w:t>
            </w:r>
          </w:p>
        </w:tc>
        <w:tc>
          <w:tcPr>
            <w:tcW w:type="dxa" w:w="1910"/>
          </w:tcPr>
          <w:p>
            <w:pPr>
              <w:spacing w:after="0" w:line="252" w:lineRule="auto"/>
            </w:pPr>
            <w:r>
              <w:rPr>
                <w:rFonts w:ascii="Calibri" w:hAnsi="Calibri"/>
                <w:b w:val="0"/>
                <w:i w:val="0"/>
                <w:color w:val="111111"/>
                <w:sz w:val="17"/>
              </w:rPr>
              <w:t>Production</w:t>
            </w:r>
          </w:p>
        </w:tc>
      </w:tr>
      <w:tr>
        <w:tc>
          <w:tcPr>
            <w:tcW w:type="dxa" w:w="1500"/>
          </w:tcPr>
          <w:p>
            <w:pPr>
              <w:spacing w:after="0" w:line="252" w:lineRule="auto"/>
            </w:pPr>
            <w:r>
              <w:rPr>
                <w:rFonts w:ascii="Calibri" w:hAnsi="Calibri"/>
                <w:b w:val="0"/>
                <w:i w:val="0"/>
                <w:color w:val="111111"/>
                <w:sz w:val="17"/>
              </w:rPr>
              <w:t>Identity</w:t>
            </w:r>
          </w:p>
        </w:tc>
        <w:tc>
          <w:tcPr>
            <w:tcW w:type="dxa" w:w="5950"/>
          </w:tcPr>
          <w:p>
            <w:pPr>
              <w:spacing w:after="0" w:line="252" w:lineRule="auto"/>
            </w:pPr>
            <w:r>
              <w:rPr>
                <w:rFonts w:ascii="Calibri" w:hAnsi="Calibri"/>
                <w:b w:val="0"/>
                <w:i w:val="0"/>
                <w:color w:val="111111"/>
                <w:sz w:val="17"/>
              </w:rPr>
              <w:t>Google Sign-In through Firebase Authentication; verified-email player linking and admin approval</w:t>
            </w:r>
          </w:p>
        </w:tc>
        <w:tc>
          <w:tcPr>
            <w:tcW w:type="dxa" w:w="1910"/>
          </w:tcPr>
          <w:p>
            <w:pPr>
              <w:spacing w:after="0" w:line="252" w:lineRule="auto"/>
            </w:pPr>
            <w:r>
              <w:rPr>
                <w:rFonts w:ascii="Calibri" w:hAnsi="Calibri"/>
                <w:b w:val="0"/>
                <w:i w:val="0"/>
                <w:color w:val="111111"/>
                <w:sz w:val="17"/>
              </w:rPr>
              <w:t>Production</w:t>
            </w:r>
          </w:p>
        </w:tc>
      </w:tr>
      <w:tr>
        <w:tc>
          <w:tcPr>
            <w:tcW w:type="dxa" w:w="1500"/>
          </w:tcPr>
          <w:p>
            <w:pPr>
              <w:spacing w:after="0" w:line="252" w:lineRule="auto"/>
            </w:pPr>
            <w:r>
              <w:rPr>
                <w:rFonts w:ascii="Calibri" w:hAnsi="Calibri"/>
                <w:b w:val="0"/>
                <w:i w:val="0"/>
                <w:color w:val="111111"/>
                <w:sz w:val="17"/>
              </w:rPr>
              <w:t>Application services</w:t>
            </w:r>
          </w:p>
        </w:tc>
        <w:tc>
          <w:tcPr>
            <w:tcW w:type="dxa" w:w="5950"/>
          </w:tcPr>
          <w:p>
            <w:pPr>
              <w:spacing w:after="0" w:line="252" w:lineRule="auto"/>
            </w:pPr>
            <w:r>
              <w:rPr>
                <w:rFonts w:ascii="Calibri" w:hAnsi="Calibri"/>
                <w:b w:val="0"/>
                <w:i w:val="0"/>
                <w:color w:val="111111"/>
                <w:sz w:val="17"/>
              </w:rPr>
              <w:t>Browser modules and Firestore transactions; no deployed Cloud Functions</w:t>
            </w:r>
          </w:p>
        </w:tc>
        <w:tc>
          <w:tcPr>
            <w:tcW w:type="dxa" w:w="1910"/>
          </w:tcPr>
          <w:p>
            <w:pPr>
              <w:spacing w:after="0" w:line="252" w:lineRule="auto"/>
            </w:pPr>
            <w:r>
              <w:rPr>
                <w:rFonts w:ascii="Calibri" w:hAnsi="Calibri"/>
                <w:b w:val="0"/>
                <w:i w:val="0"/>
                <w:color w:val="111111"/>
                <w:sz w:val="17"/>
              </w:rPr>
              <w:t>Interim</w:t>
            </w:r>
          </w:p>
        </w:tc>
      </w:tr>
      <w:tr>
        <w:tc>
          <w:tcPr>
            <w:tcW w:type="dxa" w:w="1500"/>
          </w:tcPr>
          <w:p>
            <w:pPr>
              <w:spacing w:after="0" w:line="252" w:lineRule="auto"/>
            </w:pPr>
            <w:r>
              <w:rPr>
                <w:rFonts w:ascii="Calibri" w:hAnsi="Calibri"/>
                <w:b w:val="0"/>
                <w:i w:val="0"/>
                <w:color w:val="111111"/>
                <w:sz w:val="17"/>
              </w:rPr>
              <w:t>Data</w:t>
            </w:r>
          </w:p>
        </w:tc>
        <w:tc>
          <w:tcPr>
            <w:tcW w:type="dxa" w:w="5950"/>
          </w:tcPr>
          <w:p>
            <w:pPr>
              <w:spacing w:after="0" w:line="252" w:lineRule="auto"/>
            </w:pPr>
            <w:r>
              <w:rPr>
                <w:rFonts w:ascii="Calibri" w:hAnsi="Calibri"/>
                <w:b w:val="0"/>
                <w:i w:val="0"/>
                <w:color w:val="111111"/>
                <w:sz w:val="17"/>
              </w:rPr>
              <w:t>Cloud Firestore, default database, nam5 multi-region</w:t>
            </w:r>
          </w:p>
        </w:tc>
        <w:tc>
          <w:tcPr>
            <w:tcW w:type="dxa" w:w="1910"/>
          </w:tcPr>
          <w:p>
            <w:pPr>
              <w:spacing w:after="0" w:line="252" w:lineRule="auto"/>
            </w:pPr>
            <w:r>
              <w:rPr>
                <w:rFonts w:ascii="Calibri" w:hAnsi="Calibri"/>
                <w:b w:val="0"/>
                <w:i w:val="0"/>
                <w:color w:val="111111"/>
                <w:sz w:val="17"/>
              </w:rPr>
              <w:t>Production</w:t>
            </w:r>
          </w:p>
        </w:tc>
      </w:tr>
      <w:tr>
        <w:tc>
          <w:tcPr>
            <w:tcW w:type="dxa" w:w="1500"/>
          </w:tcPr>
          <w:p>
            <w:pPr>
              <w:spacing w:after="0" w:line="252" w:lineRule="auto"/>
            </w:pPr>
            <w:r>
              <w:rPr>
                <w:rFonts w:ascii="Calibri" w:hAnsi="Calibri"/>
                <w:b w:val="0"/>
                <w:i w:val="0"/>
                <w:color w:val="111111"/>
                <w:sz w:val="17"/>
              </w:rPr>
              <w:t>Authorization</w:t>
            </w:r>
          </w:p>
        </w:tc>
        <w:tc>
          <w:tcPr>
            <w:tcW w:type="dxa" w:w="5950"/>
          </w:tcPr>
          <w:p>
            <w:pPr>
              <w:spacing w:after="0" w:line="252" w:lineRule="auto"/>
            </w:pPr>
            <w:r>
              <w:rPr>
                <w:rFonts w:ascii="Calibri" w:hAnsi="Calibri"/>
                <w:b w:val="0"/>
                <w:i w:val="0"/>
                <w:color w:val="111111"/>
                <w:sz w:val="17"/>
              </w:rPr>
              <w:t>Firestore Security Rules plus client route visibility</w:t>
            </w:r>
          </w:p>
        </w:tc>
        <w:tc>
          <w:tcPr>
            <w:tcW w:type="dxa" w:w="1910"/>
          </w:tcPr>
          <w:p>
            <w:pPr>
              <w:spacing w:after="0" w:line="252" w:lineRule="auto"/>
            </w:pPr>
            <w:r>
              <w:rPr>
                <w:rFonts w:ascii="Calibri" w:hAnsi="Calibri"/>
                <w:b w:val="0"/>
                <w:i w:val="0"/>
                <w:color w:val="111111"/>
                <w:sz w:val="17"/>
              </w:rPr>
              <w:t>Production</w:t>
            </w:r>
          </w:p>
        </w:tc>
      </w:tr>
      <w:tr>
        <w:tc>
          <w:tcPr>
            <w:tcW w:type="dxa" w:w="1500"/>
          </w:tcPr>
          <w:p>
            <w:pPr>
              <w:spacing w:after="0" w:line="252" w:lineRule="auto"/>
            </w:pPr>
            <w:r>
              <w:rPr>
                <w:rFonts w:ascii="Calibri" w:hAnsi="Calibri"/>
                <w:b w:val="0"/>
                <w:i w:val="0"/>
                <w:color w:val="111111"/>
                <w:sz w:val="17"/>
              </w:rPr>
              <w:t>Hosting</w:t>
            </w:r>
          </w:p>
        </w:tc>
        <w:tc>
          <w:tcPr>
            <w:tcW w:type="dxa" w:w="5950"/>
          </w:tcPr>
          <w:p>
            <w:pPr>
              <w:spacing w:after="0" w:line="252" w:lineRule="auto"/>
            </w:pPr>
            <w:r>
              <w:rPr>
                <w:rFonts w:ascii="Calibri" w:hAnsi="Calibri"/>
                <w:b w:val="0"/>
                <w:i w:val="0"/>
                <w:color w:val="111111"/>
                <w:sz w:val="17"/>
              </w:rPr>
              <w:t>Firebase Hosting with SPA rewrite and no-cache code headers</w:t>
            </w:r>
          </w:p>
        </w:tc>
        <w:tc>
          <w:tcPr>
            <w:tcW w:type="dxa" w:w="1910"/>
          </w:tcPr>
          <w:p>
            <w:pPr>
              <w:spacing w:after="0" w:line="252" w:lineRule="auto"/>
            </w:pPr>
            <w:r>
              <w:rPr>
                <w:rFonts w:ascii="Calibri" w:hAnsi="Calibri"/>
                <w:b w:val="0"/>
                <w:i w:val="0"/>
                <w:color w:val="111111"/>
                <w:sz w:val="17"/>
              </w:rPr>
              <w:t>Production</w:t>
            </w:r>
          </w:p>
        </w:tc>
      </w:tr>
      <w:tr>
        <w:tc>
          <w:tcPr>
            <w:tcW w:type="dxa" w:w="1500"/>
          </w:tcPr>
          <w:p>
            <w:pPr>
              <w:spacing w:after="0" w:line="252" w:lineRule="auto"/>
            </w:pPr>
            <w:r>
              <w:rPr>
                <w:rFonts w:ascii="Calibri" w:hAnsi="Calibri"/>
                <w:b w:val="0"/>
                <w:i w:val="0"/>
                <w:color w:val="111111"/>
                <w:sz w:val="17"/>
              </w:rPr>
              <w:t>Offline</w:t>
            </w:r>
          </w:p>
        </w:tc>
        <w:tc>
          <w:tcPr>
            <w:tcW w:type="dxa" w:w="5950"/>
          </w:tcPr>
          <w:p>
            <w:pPr>
              <w:spacing w:after="0" w:line="252" w:lineRule="auto"/>
            </w:pPr>
            <w:r>
              <w:rPr>
                <w:rFonts w:ascii="Calibri" w:hAnsi="Calibri"/>
                <w:b w:val="0"/>
                <w:i w:val="0"/>
                <w:color w:val="111111"/>
                <w:sz w:val="17"/>
              </w:rPr>
              <w:t>Service worker app-shell cache; operational writes still require Firestore connectivity</w:t>
            </w:r>
          </w:p>
        </w:tc>
        <w:tc>
          <w:tcPr>
            <w:tcW w:type="dxa" w:w="1910"/>
          </w:tcPr>
          <w:p>
            <w:pPr>
              <w:spacing w:after="0" w:line="252" w:lineRule="auto"/>
            </w:pPr>
            <w:r>
              <w:rPr>
                <w:rFonts w:ascii="Calibri" w:hAnsi="Calibri"/>
                <w:b w:val="0"/>
                <w:i w:val="0"/>
                <w:color w:val="111111"/>
                <w:sz w:val="17"/>
              </w:rPr>
              <w:t>Limited</w:t>
            </w:r>
          </w:p>
        </w:tc>
      </w:tr>
      <w:tr>
        <w:tc>
          <w:tcPr>
            <w:tcW w:type="dxa" w:w="1500"/>
          </w:tcPr>
          <w:p>
            <w:pPr>
              <w:spacing w:after="0" w:line="252" w:lineRule="auto"/>
            </w:pPr>
            <w:r>
              <w:rPr>
                <w:rFonts w:ascii="Calibri" w:hAnsi="Calibri"/>
                <w:b w:val="0"/>
                <w:i w:val="0"/>
                <w:color w:val="111111"/>
                <w:sz w:val="17"/>
              </w:rPr>
              <w:t>Delivery</w:t>
            </w:r>
          </w:p>
        </w:tc>
        <w:tc>
          <w:tcPr>
            <w:tcW w:type="dxa" w:w="5950"/>
          </w:tcPr>
          <w:p>
            <w:pPr>
              <w:spacing w:after="0" w:line="252" w:lineRule="auto"/>
            </w:pPr>
            <w:r>
              <w:rPr>
                <w:rFonts w:ascii="Calibri" w:hAnsi="Calibri"/>
                <w:b w:val="0"/>
                <w:i w:val="0"/>
                <w:color w:val="111111"/>
                <w:sz w:val="17"/>
              </w:rPr>
              <w:t>Manual Firebase CLI deployment to one Firebase project</w:t>
            </w:r>
          </w:p>
        </w:tc>
        <w:tc>
          <w:tcPr>
            <w:tcW w:type="dxa" w:w="1910"/>
          </w:tcPr>
          <w:p>
            <w:pPr>
              <w:spacing w:after="0" w:line="252" w:lineRule="auto"/>
            </w:pPr>
            <w:r>
              <w:rPr>
                <w:rFonts w:ascii="Calibri" w:hAnsi="Calibri"/>
                <w:b w:val="0"/>
                <w:i w:val="0"/>
                <w:color w:val="111111"/>
                <w:sz w:val="17"/>
              </w:rPr>
              <w:t>Needs hardening</w:t>
            </w:r>
          </w:p>
        </w:tc>
      </w:tr>
    </w:tbl>
    <w:p>
      <w:pPr>
        <w:spacing w:after="40"/>
      </w:pPr>
    </w:p>
    <w:p>
      <w:pPr>
        <w:pStyle w:val="Heading2"/>
        <w:keepNext/>
      </w:pPr>
      <w:r>
        <w:t>Architecture quality assessment</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000"/>
        <w:gridCol w:w="7360"/>
      </w:tblGrid>
      <w:tr>
        <w:trPr>
          <w:tblHeader w:val="true"/>
        </w:trPr>
        <w:tc>
          <w:tcPr>
            <w:tcW w:type="dxa" w:w="200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Category</w:t>
            </w:r>
          </w:p>
        </w:tc>
        <w:tc>
          <w:tcPr>
            <w:tcW w:type="dxa" w:w="736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Assessment</w:t>
            </w:r>
          </w:p>
        </w:tc>
      </w:tr>
      <w:tr>
        <w:tc>
          <w:tcPr>
            <w:tcW w:type="dxa" w:w="2000"/>
          </w:tcPr>
          <w:p>
            <w:pPr>
              <w:spacing w:after="0" w:line="252" w:lineRule="auto"/>
            </w:pPr>
            <w:r>
              <w:rPr>
                <w:rFonts w:ascii="Calibri" w:hAnsi="Calibri"/>
                <w:b w:val="0"/>
                <w:i w:val="0"/>
                <w:color w:val="111111"/>
                <w:sz w:val="18"/>
              </w:rPr>
              <w:t>Strengths</w:t>
            </w:r>
          </w:p>
        </w:tc>
        <w:tc>
          <w:tcPr>
            <w:tcW w:type="dxa" w:w="7360"/>
          </w:tcPr>
          <w:p>
            <w:pPr>
              <w:spacing w:after="0" w:line="252" w:lineRule="auto"/>
            </w:pPr>
            <w:r>
              <w:rPr>
                <w:rFonts w:ascii="Calibri" w:hAnsi="Calibri"/>
                <w:b w:val="0"/>
                <w:i w:val="0"/>
                <w:color w:val="111111"/>
                <w:sz w:val="18"/>
              </w:rPr>
              <w:t>Simple deployment, low operating cost, responsive PWA, direct real-time reads, strong document ownership model, immutable lineup revisions, transaction-based concurrency.</w:t>
            </w:r>
          </w:p>
        </w:tc>
      </w:tr>
      <w:tr>
        <w:tc>
          <w:tcPr>
            <w:tcW w:type="dxa" w:w="2000"/>
          </w:tcPr>
          <w:p>
            <w:pPr>
              <w:spacing w:after="0" w:line="252" w:lineRule="auto"/>
            </w:pPr>
            <w:r>
              <w:rPr>
                <w:rFonts w:ascii="Calibri" w:hAnsi="Calibri"/>
                <w:b w:val="0"/>
                <w:i w:val="0"/>
                <w:color w:val="111111"/>
                <w:sz w:val="18"/>
              </w:rPr>
              <w:t>Constraints</w:t>
            </w:r>
          </w:p>
        </w:tc>
        <w:tc>
          <w:tcPr>
            <w:tcW w:type="dxa" w:w="7360"/>
          </w:tcPr>
          <w:p>
            <w:pPr>
              <w:spacing w:after="0" w:line="252" w:lineRule="auto"/>
            </w:pPr>
            <w:r>
              <w:rPr>
                <w:rFonts w:ascii="Calibri" w:hAnsi="Calibri"/>
                <w:b w:val="0"/>
                <w:i w:val="0"/>
                <w:color w:val="111111"/>
                <w:sz w:val="18"/>
              </w:rPr>
              <w:t>No trusted execution tier, no scheduled/background processing, no centralized secrets, limited server-side validation, manual cache versioning, one environment.</w:t>
            </w:r>
          </w:p>
        </w:tc>
      </w:tr>
      <w:tr>
        <w:tc>
          <w:tcPr>
            <w:tcW w:type="dxa" w:w="2000"/>
          </w:tcPr>
          <w:p>
            <w:pPr>
              <w:spacing w:after="0" w:line="252" w:lineRule="auto"/>
            </w:pPr>
            <w:r>
              <w:rPr>
                <w:rFonts w:ascii="Calibri" w:hAnsi="Calibri"/>
                <w:b w:val="0"/>
                <w:i w:val="0"/>
                <w:color w:val="111111"/>
                <w:sz w:val="18"/>
              </w:rPr>
              <w:t>Highest residual risk</w:t>
            </w:r>
          </w:p>
        </w:tc>
        <w:tc>
          <w:tcPr>
            <w:tcW w:type="dxa" w:w="7360"/>
          </w:tcPr>
          <w:p>
            <w:pPr>
              <w:spacing w:after="0" w:line="252" w:lineRule="auto"/>
            </w:pPr>
            <w:r>
              <w:rPr>
                <w:rFonts w:ascii="Calibri" w:hAnsi="Calibri"/>
                <w:b w:val="0"/>
                <w:i w:val="0"/>
                <w:color w:val="111111"/>
                <w:sz w:val="18"/>
              </w:rPr>
              <w:t>A privileged user can attempt direct SDK writes. Rules control status transitions, but application-level checks such as score inspection during exceptional reset cannot be independently queried by Firestore Rules.</w:t>
            </w:r>
          </w:p>
        </w:tc>
      </w:tr>
      <w:tr>
        <w:tc>
          <w:tcPr>
            <w:tcW w:type="dxa" w:w="2000"/>
          </w:tcPr>
          <w:p>
            <w:pPr>
              <w:spacing w:after="0" w:line="252" w:lineRule="auto"/>
            </w:pPr>
            <w:r>
              <w:rPr>
                <w:rFonts w:ascii="Calibri" w:hAnsi="Calibri"/>
                <w:b w:val="0"/>
                <w:i w:val="0"/>
                <w:color w:val="111111"/>
                <w:sz w:val="18"/>
              </w:rPr>
              <w:t>Recommended disposition</w:t>
            </w:r>
          </w:p>
        </w:tc>
        <w:tc>
          <w:tcPr>
            <w:tcW w:type="dxa" w:w="7360"/>
          </w:tcPr>
          <w:p>
            <w:pPr>
              <w:spacing w:after="0" w:line="252" w:lineRule="auto"/>
            </w:pPr>
            <w:r>
              <w:rPr>
                <w:rFonts w:ascii="Calibri" w:hAnsi="Calibri"/>
                <w:b w:val="0"/>
                <w:i w:val="0"/>
                <w:color w:val="111111"/>
                <w:sz w:val="18"/>
              </w:rPr>
              <w:t>Approve with conditions and define explicit triggers for a Blaze/server migration.</w:t>
            </w:r>
          </w:p>
        </w:tc>
      </w:tr>
    </w:tbl>
    <w:p>
      <w:pPr>
        <w:spacing w:after="40"/>
      </w:pPr>
    </w:p>
    <w:p>
      <w:pPr>
        <w:pStyle w:val="Heading1"/>
        <w:keepNext/>
      </w:pPr>
      <w:r>
        <w:t>2. Scope, principles, and design decisions</w:t>
      </w:r>
    </w:p>
    <w:p>
      <w:pPr>
        <w:pStyle w:val="Heading2"/>
        <w:keepNext/>
      </w:pPr>
      <w:r>
        <w:t>2.1 In-scope capabilities</w:t>
      </w:r>
    </w:p>
    <w:p>
      <w:pPr>
        <w:pStyle w:val="ListBullet"/>
      </w:pPr>
      <w:r>
        <w:rPr>
          <w:rFonts w:ascii="Calibri" w:hAnsi="Calibri"/>
          <w:b w:val="0"/>
          <w:i w:val="0"/>
          <w:color w:val="111111"/>
          <w:sz w:val="22"/>
        </w:rPr>
        <w:t>Public home, season, match, standings, history, rules, venue, and community content.</w:t>
      </w:r>
    </w:p>
    <w:p>
      <w:pPr>
        <w:pStyle w:val="ListBullet"/>
      </w:pPr>
      <w:r>
        <w:rPr>
          <w:rFonts w:ascii="Calibri" w:hAnsi="Calibri"/>
          <w:b w:val="0"/>
          <w:i w:val="0"/>
          <w:color w:val="111111"/>
          <w:sz w:val="22"/>
        </w:rPr>
        <w:t>Google authentication, user registration, Player Master identity matching, and Super Admin approval.</w:t>
      </w:r>
    </w:p>
    <w:p>
      <w:pPr>
        <w:pStyle w:val="ListBullet"/>
      </w:pPr>
      <w:r>
        <w:rPr>
          <w:rFonts w:ascii="Calibri" w:hAnsi="Calibri"/>
          <w:b w:val="0"/>
          <w:i w:val="0"/>
          <w:color w:val="111111"/>
          <w:sz w:val="22"/>
        </w:rPr>
        <w:t>Season, team, roster, venue, matchup, approver, and player administration.</w:t>
      </w:r>
    </w:p>
    <w:p>
      <w:pPr>
        <w:pStyle w:val="ListBullet"/>
      </w:pPr>
      <w:r>
        <w:rPr>
          <w:rFonts w:ascii="Calibri" w:hAnsi="Calibri"/>
          <w:b w:val="0"/>
          <w:i w:val="0"/>
          <w:color w:val="111111"/>
          <w:sz w:val="22"/>
        </w:rPr>
        <w:t>Captain, EC, Neutral Approver, and Super Admin lineup submission.</w:t>
      </w:r>
    </w:p>
    <w:p>
      <w:pPr>
        <w:pStyle w:val="ListBullet"/>
      </w:pPr>
      <w:r>
        <w:rPr>
          <w:rFonts w:ascii="Calibri" w:hAnsi="Calibri"/>
          <w:b w:val="0"/>
          <w:i w:val="0"/>
          <w:color w:val="111111"/>
          <w:sz w:val="22"/>
        </w:rPr>
        <w:t>Independent Home/Away team-level approval, rejection, and self-approval tracking.</w:t>
      </w:r>
    </w:p>
    <w:p>
      <w:pPr>
        <w:pStyle w:val="ListBullet"/>
      </w:pPr>
      <w:r>
        <w:rPr>
          <w:rFonts w:ascii="Calibri" w:hAnsi="Calibri"/>
          <w:b w:val="0"/>
          <w:i w:val="0"/>
          <w:color w:val="111111"/>
          <w:sz w:val="22"/>
        </w:rPr>
        <w:t>Full lineup publication, match scheduling, score entry, calculated points, and standings publication.</w:t>
      </w:r>
    </w:p>
    <w:p>
      <w:pPr>
        <w:pStyle w:val="ListBullet"/>
      </w:pPr>
      <w:r>
        <w:rPr>
          <w:rFonts w:ascii="Calibri" w:hAnsi="Calibri"/>
          <w:b w:val="0"/>
          <w:i w:val="0"/>
          <w:color w:val="111111"/>
          <w:sz w:val="22"/>
        </w:rPr>
        <w:t>Exceptional reset of both fully approved lineups when no score activity is detected.</w:t>
      </w:r>
    </w:p>
    <w:p>
      <w:pPr>
        <w:pStyle w:val="ListBullet"/>
      </w:pPr>
      <w:r>
        <w:rPr>
          <w:rFonts w:ascii="Calibri" w:hAnsi="Calibri"/>
          <w:b w:val="0"/>
          <w:i w:val="0"/>
          <w:color w:val="111111"/>
          <w:sz w:val="22"/>
        </w:rPr>
        <w:t>PWA installation and app-shell offline behavior.</w:t>
      </w:r>
    </w:p>
    <w:p>
      <w:pPr>
        <w:pStyle w:val="Heading2"/>
        <w:keepNext/>
      </w:pPr>
      <w:r>
        <w:t>2.2 Governing principles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100"/>
        <w:gridCol w:w="7260"/>
      </w:tblGrid>
      <w:tr>
        <w:trPr>
          <w:tblHeader w:val="true"/>
        </w:trPr>
        <w:tc>
          <w:tcPr>
            <w:tcW w:type="dxa" w:w="210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Principle</w:t>
            </w:r>
          </w:p>
        </w:tc>
        <w:tc>
          <w:tcPr>
            <w:tcW w:type="dxa" w:w="726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Application</w:t>
            </w:r>
          </w:p>
        </w:tc>
      </w:tr>
      <w:tr>
        <w:tc>
          <w:tcPr>
            <w:tcW w:type="dxa" w:w="2100"/>
          </w:tcPr>
          <w:p>
            <w:pPr>
              <w:spacing w:after="0" w:line="252" w:lineRule="auto"/>
            </w:pPr>
            <w:r>
              <w:rPr>
                <w:rFonts w:ascii="Calibri" w:hAnsi="Calibri"/>
                <w:b w:val="0"/>
                <w:i w:val="0"/>
                <w:color w:val="111111"/>
                <w:sz w:val="18"/>
              </w:rPr>
              <w:t>Canonical identity</w:t>
            </w:r>
          </w:p>
        </w:tc>
        <w:tc>
          <w:tcPr>
            <w:tcW w:type="dxa" w:w="7260"/>
          </w:tcPr>
          <w:p>
            <w:pPr>
              <w:spacing w:after="0" w:line="252" w:lineRule="auto"/>
            </w:pPr>
            <w:r>
              <w:rPr>
                <w:rFonts w:ascii="Calibri" w:hAnsi="Calibri"/>
                <w:b w:val="0"/>
                <w:i w:val="0"/>
                <w:color w:val="111111"/>
                <w:sz w:val="18"/>
              </w:rPr>
              <w:t>Firebase UID identifies the account; Player ID identifies the person across seasons and history.</w:t>
            </w:r>
          </w:p>
        </w:tc>
      </w:tr>
      <w:tr>
        <w:tc>
          <w:tcPr>
            <w:tcW w:type="dxa" w:w="2100"/>
          </w:tcPr>
          <w:p>
            <w:pPr>
              <w:spacing w:after="0" w:line="252" w:lineRule="auto"/>
            </w:pPr>
            <w:r>
              <w:rPr>
                <w:rFonts w:ascii="Calibri" w:hAnsi="Calibri"/>
                <w:b w:val="0"/>
                <w:i w:val="0"/>
                <w:color w:val="111111"/>
                <w:sz w:val="18"/>
              </w:rPr>
              <w:t>Season isolation</w:t>
            </w:r>
          </w:p>
        </w:tc>
        <w:tc>
          <w:tcPr>
            <w:tcW w:type="dxa" w:w="7260"/>
          </w:tcPr>
          <w:p>
            <w:pPr>
              <w:spacing w:after="0" w:line="252" w:lineRule="auto"/>
            </w:pPr>
            <w:r>
              <w:rPr>
                <w:rFonts w:ascii="Calibri" w:hAnsi="Calibri"/>
                <w:b w:val="0"/>
                <w:i w:val="0"/>
                <w:color w:val="111111"/>
                <w:sz w:val="18"/>
              </w:rPr>
              <w:t>Operational data is nested below a season and is governed by active season membership.</w:t>
            </w:r>
          </w:p>
        </w:tc>
      </w:tr>
      <w:tr>
        <w:tc>
          <w:tcPr>
            <w:tcW w:type="dxa" w:w="2100"/>
          </w:tcPr>
          <w:p>
            <w:pPr>
              <w:spacing w:after="0" w:line="252" w:lineRule="auto"/>
            </w:pPr>
            <w:r>
              <w:rPr>
                <w:rFonts w:ascii="Calibri" w:hAnsi="Calibri"/>
                <w:b w:val="0"/>
                <w:i w:val="0"/>
                <w:color w:val="111111"/>
                <w:sz w:val="18"/>
              </w:rPr>
              <w:t>Least privilege</w:t>
            </w:r>
          </w:p>
        </w:tc>
        <w:tc>
          <w:tcPr>
            <w:tcW w:type="dxa" w:w="7260"/>
          </w:tcPr>
          <w:p>
            <w:pPr>
              <w:spacing w:after="0" w:line="252" w:lineRule="auto"/>
            </w:pPr>
            <w:r>
              <w:rPr>
                <w:rFonts w:ascii="Calibri" w:hAnsi="Calibri"/>
                <w:b w:val="0"/>
                <w:i w:val="0"/>
                <w:color w:val="111111"/>
                <w:sz w:val="18"/>
              </w:rPr>
              <w:t>Guest, Player, Captain, EC, Neutral Approver, and Super Admin access is evaluated separately.</w:t>
            </w:r>
          </w:p>
        </w:tc>
      </w:tr>
      <w:tr>
        <w:tc>
          <w:tcPr>
            <w:tcW w:type="dxa" w:w="2100"/>
          </w:tcPr>
          <w:p>
            <w:pPr>
              <w:spacing w:after="0" w:line="252" w:lineRule="auto"/>
            </w:pPr>
            <w:r>
              <w:rPr>
                <w:rFonts w:ascii="Calibri" w:hAnsi="Calibri"/>
                <w:b w:val="0"/>
                <w:i w:val="0"/>
                <w:color w:val="111111"/>
                <w:sz w:val="18"/>
              </w:rPr>
              <w:t>Immutable history</w:t>
            </w:r>
          </w:p>
        </w:tc>
        <w:tc>
          <w:tcPr>
            <w:tcW w:type="dxa" w:w="7260"/>
          </w:tcPr>
          <w:p>
            <w:pPr>
              <w:spacing w:after="0" w:line="252" w:lineRule="auto"/>
            </w:pPr>
            <w:r>
              <w:rPr>
                <w:rFonts w:ascii="Calibri" w:hAnsi="Calibri"/>
                <w:b w:val="0"/>
                <w:i w:val="0"/>
                <w:color w:val="111111"/>
                <w:sz w:val="18"/>
              </w:rPr>
              <w:t>Submitted lineup revisions and workflow actions are create-only.</w:t>
            </w:r>
          </w:p>
        </w:tc>
      </w:tr>
      <w:tr>
        <w:tc>
          <w:tcPr>
            <w:tcW w:type="dxa" w:w="2100"/>
          </w:tcPr>
          <w:p>
            <w:pPr>
              <w:spacing w:after="0" w:line="252" w:lineRule="auto"/>
            </w:pPr>
            <w:r>
              <w:rPr>
                <w:rFonts w:ascii="Calibri" w:hAnsi="Calibri"/>
                <w:b w:val="0"/>
                <w:i w:val="0"/>
                <w:color w:val="111111"/>
                <w:sz w:val="18"/>
              </w:rPr>
              <w:t>Atomic state change</w:t>
            </w:r>
          </w:p>
        </w:tc>
        <w:tc>
          <w:tcPr>
            <w:tcW w:type="dxa" w:w="7260"/>
          </w:tcPr>
          <w:p>
            <w:pPr>
              <w:spacing w:after="0" w:line="252" w:lineRule="auto"/>
            </w:pPr>
            <w:r>
              <w:rPr>
                <w:rFonts w:ascii="Calibri" w:hAnsi="Calibri"/>
                <w:b w:val="0"/>
                <w:i w:val="0"/>
                <w:color w:val="111111"/>
                <w:sz w:val="18"/>
              </w:rPr>
              <w:t>Cross-document workflow state is committed in one transaction or batch.</w:t>
            </w:r>
          </w:p>
        </w:tc>
      </w:tr>
      <w:tr>
        <w:tc>
          <w:tcPr>
            <w:tcW w:type="dxa" w:w="2100"/>
          </w:tcPr>
          <w:p>
            <w:pPr>
              <w:spacing w:after="0" w:line="252" w:lineRule="auto"/>
            </w:pPr>
            <w:r>
              <w:rPr>
                <w:rFonts w:ascii="Calibri" w:hAnsi="Calibri"/>
                <w:b w:val="0"/>
                <w:i w:val="0"/>
                <w:color w:val="111111"/>
                <w:sz w:val="18"/>
              </w:rPr>
              <w:t>Public/private separation</w:t>
            </w:r>
          </w:p>
        </w:tc>
        <w:tc>
          <w:tcPr>
            <w:tcW w:type="dxa" w:w="7260"/>
          </w:tcPr>
          <w:p>
            <w:pPr>
              <w:spacing w:after="0" w:line="252" w:lineRule="auto"/>
            </w:pPr>
            <w:r>
              <w:rPr>
                <w:rFonts w:ascii="Calibri" w:hAnsi="Calibri"/>
                <w:b w:val="0"/>
                <w:i w:val="0"/>
                <w:color w:val="111111"/>
                <w:sz w:val="18"/>
              </w:rPr>
              <w:t>Public projections are separate from operational and private player records.</w:t>
            </w:r>
          </w:p>
        </w:tc>
      </w:tr>
      <w:tr>
        <w:tc>
          <w:tcPr>
            <w:tcW w:type="dxa" w:w="2100"/>
          </w:tcPr>
          <w:p>
            <w:pPr>
              <w:spacing w:after="0" w:line="252" w:lineRule="auto"/>
            </w:pPr>
            <w:r>
              <w:rPr>
                <w:rFonts w:ascii="Calibri" w:hAnsi="Calibri"/>
                <w:b w:val="0"/>
                <w:i w:val="0"/>
                <w:color w:val="111111"/>
                <w:sz w:val="18"/>
              </w:rPr>
              <w:t>Snapshot history</w:t>
            </w:r>
          </w:p>
        </w:tc>
        <w:tc>
          <w:tcPr>
            <w:tcW w:type="dxa" w:w="7260"/>
          </w:tcPr>
          <w:p>
            <w:pPr>
              <w:spacing w:after="0" w:line="252" w:lineRule="auto"/>
            </w:pPr>
            <w:r>
              <w:rPr>
                <w:rFonts w:ascii="Calibri" w:hAnsi="Calibri"/>
                <w:b w:val="0"/>
                <w:i w:val="0"/>
                <w:color w:val="111111"/>
                <w:sz w:val="18"/>
              </w:rPr>
              <w:t>Names, ranks, teams, and actor details are copied into official records to preserve historical meaning.</w:t>
            </w:r>
          </w:p>
        </w:tc>
      </w:tr>
      <w:tr>
        <w:tc>
          <w:tcPr>
            <w:tcW w:type="dxa" w:w="2100"/>
          </w:tcPr>
          <w:p>
            <w:pPr>
              <w:spacing w:after="0" w:line="252" w:lineRule="auto"/>
            </w:pPr>
            <w:r>
              <w:rPr>
                <w:rFonts w:ascii="Calibri" w:hAnsi="Calibri"/>
                <w:b w:val="0"/>
                <w:i w:val="0"/>
                <w:color w:val="111111"/>
                <w:sz w:val="18"/>
              </w:rPr>
              <w:t>Plan portability</w:t>
            </w:r>
          </w:p>
        </w:tc>
        <w:tc>
          <w:tcPr>
            <w:tcW w:type="dxa" w:w="7260"/>
          </w:tcPr>
          <w:p>
            <w:pPr>
              <w:spacing w:after="0" w:line="252" w:lineRule="auto"/>
            </w:pPr>
            <w:r>
              <w:rPr>
                <w:rFonts w:ascii="Calibri" w:hAnsi="Calibri"/>
                <w:b w:val="0"/>
                <w:i w:val="0"/>
                <w:color w:val="111111"/>
                <w:sz w:val="18"/>
              </w:rPr>
              <w:t>UI and schema contracts remain stable when protected mutations move to Cloud Functions.</w:t>
            </w:r>
          </w:p>
        </w:tc>
      </w:tr>
    </w:tbl>
    <w:p>
      <w:pPr>
        <w:spacing w:after="40"/>
      </w:pPr>
    </w:p>
    <w:p>
      <w:pPr>
        <w:pStyle w:val="Heading2"/>
        <w:keepNext/>
      </w:pPr>
      <w:r>
        <w:t>2.3 Key architecture decisions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100"/>
        <w:gridCol w:w="2600"/>
        <w:gridCol w:w="5660"/>
      </w:tblGrid>
      <w:tr>
        <w:trPr>
          <w:tblHeader w:val="true"/>
        </w:trPr>
        <w:tc>
          <w:tcPr>
            <w:tcW w:type="dxa" w:w="11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ID</w:t>
            </w:r>
          </w:p>
        </w:tc>
        <w:tc>
          <w:tcPr>
            <w:tcW w:type="dxa" w:w="26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Decision</w:t>
            </w:r>
          </w:p>
        </w:tc>
        <w:tc>
          <w:tcPr>
            <w:tcW w:type="dxa" w:w="56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Rationale</w:t>
            </w:r>
          </w:p>
        </w:tc>
      </w:tr>
      <w:tr>
        <w:tc>
          <w:tcPr>
            <w:tcW w:type="dxa" w:w="1100"/>
          </w:tcPr>
          <w:p>
            <w:pPr>
              <w:spacing w:after="0" w:line="252" w:lineRule="auto"/>
            </w:pPr>
            <w:r>
              <w:rPr>
                <w:rFonts w:ascii="Calibri" w:hAnsi="Calibri"/>
                <w:b w:val="0"/>
                <w:i w:val="0"/>
                <w:color w:val="111111"/>
                <w:sz w:val="17"/>
              </w:rPr>
              <w:t>ADR-001</w:t>
            </w:r>
          </w:p>
        </w:tc>
        <w:tc>
          <w:tcPr>
            <w:tcW w:type="dxa" w:w="2600"/>
          </w:tcPr>
          <w:p>
            <w:pPr>
              <w:spacing w:after="0" w:line="252" w:lineRule="auto"/>
            </w:pPr>
            <w:r>
              <w:rPr>
                <w:rFonts w:ascii="Calibri" w:hAnsi="Calibri"/>
                <w:b w:val="0"/>
                <w:i w:val="0"/>
                <w:color w:val="111111"/>
                <w:sz w:val="17"/>
              </w:rPr>
              <w:t>Progressive Web App</w:t>
            </w:r>
          </w:p>
        </w:tc>
        <w:tc>
          <w:tcPr>
            <w:tcW w:type="dxa" w:w="5660"/>
          </w:tcPr>
          <w:p>
            <w:pPr>
              <w:spacing w:after="0" w:line="252" w:lineRule="auto"/>
            </w:pPr>
            <w:r>
              <w:rPr>
                <w:rFonts w:ascii="Calibri" w:hAnsi="Calibri"/>
                <w:b w:val="0"/>
                <w:i w:val="0"/>
                <w:color w:val="111111"/>
                <w:sz w:val="17"/>
              </w:rPr>
              <w:t>One responsive codebase for phone, tablet, and desktop; avoids native app distribution.</w:t>
            </w:r>
          </w:p>
        </w:tc>
      </w:tr>
      <w:tr>
        <w:tc>
          <w:tcPr>
            <w:tcW w:type="dxa" w:w="1100"/>
          </w:tcPr>
          <w:p>
            <w:pPr>
              <w:spacing w:after="0" w:line="252" w:lineRule="auto"/>
            </w:pPr>
            <w:r>
              <w:rPr>
                <w:rFonts w:ascii="Calibri" w:hAnsi="Calibri"/>
                <w:b w:val="0"/>
                <w:i w:val="0"/>
                <w:color w:val="111111"/>
                <w:sz w:val="17"/>
              </w:rPr>
              <w:t>ADR-002</w:t>
            </w:r>
          </w:p>
        </w:tc>
        <w:tc>
          <w:tcPr>
            <w:tcW w:type="dxa" w:w="2600"/>
          </w:tcPr>
          <w:p>
            <w:pPr>
              <w:spacing w:after="0" w:line="252" w:lineRule="auto"/>
            </w:pPr>
            <w:r>
              <w:rPr>
                <w:rFonts w:ascii="Calibri" w:hAnsi="Calibri"/>
                <w:b w:val="0"/>
                <w:i w:val="0"/>
                <w:color w:val="111111"/>
                <w:sz w:val="17"/>
              </w:rPr>
              <w:t>Firebase managed platform</w:t>
            </w:r>
          </w:p>
        </w:tc>
        <w:tc>
          <w:tcPr>
            <w:tcW w:type="dxa" w:w="5660"/>
          </w:tcPr>
          <w:p>
            <w:pPr>
              <w:spacing w:after="0" w:line="252" w:lineRule="auto"/>
            </w:pPr>
            <w:r>
              <w:rPr>
                <w:rFonts w:ascii="Calibri" w:hAnsi="Calibri"/>
                <w:b w:val="0"/>
                <w:i w:val="0"/>
                <w:color w:val="111111"/>
                <w:sz w:val="17"/>
              </w:rPr>
              <w:t>Use Hosting, Authentication, and Firestore to minimize operational overhead.</w:t>
            </w:r>
          </w:p>
        </w:tc>
      </w:tr>
      <w:tr>
        <w:tc>
          <w:tcPr>
            <w:tcW w:type="dxa" w:w="1100"/>
          </w:tcPr>
          <w:p>
            <w:pPr>
              <w:spacing w:after="0" w:line="252" w:lineRule="auto"/>
            </w:pPr>
            <w:r>
              <w:rPr>
                <w:rFonts w:ascii="Calibri" w:hAnsi="Calibri"/>
                <w:b w:val="0"/>
                <w:i w:val="0"/>
                <w:color w:val="111111"/>
                <w:sz w:val="17"/>
              </w:rPr>
              <w:t>ADR-003</w:t>
            </w:r>
          </w:p>
        </w:tc>
        <w:tc>
          <w:tcPr>
            <w:tcW w:type="dxa" w:w="2600"/>
          </w:tcPr>
          <w:p>
            <w:pPr>
              <w:spacing w:after="0" w:line="252" w:lineRule="auto"/>
            </w:pPr>
            <w:r>
              <w:rPr>
                <w:rFonts w:ascii="Calibri" w:hAnsi="Calibri"/>
                <w:b w:val="0"/>
                <w:i w:val="0"/>
                <w:color w:val="111111"/>
                <w:sz w:val="17"/>
              </w:rPr>
              <w:t>Spark-safe workflow</w:t>
            </w:r>
          </w:p>
        </w:tc>
        <w:tc>
          <w:tcPr>
            <w:tcW w:type="dxa" w:w="5660"/>
          </w:tcPr>
          <w:p>
            <w:pPr>
              <w:spacing w:after="0" w:line="252" w:lineRule="auto"/>
            </w:pPr>
            <w:r>
              <w:rPr>
                <w:rFonts w:ascii="Calibri" w:hAnsi="Calibri"/>
                <w:b w:val="0"/>
                <w:i w:val="0"/>
                <w:color w:val="111111"/>
                <w:sz w:val="17"/>
              </w:rPr>
              <w:t>Use browser-side Firestore transactions while Blaze is unavailable.</w:t>
            </w:r>
          </w:p>
        </w:tc>
      </w:tr>
      <w:tr>
        <w:tc>
          <w:tcPr>
            <w:tcW w:type="dxa" w:w="1100"/>
          </w:tcPr>
          <w:p>
            <w:pPr>
              <w:spacing w:after="0" w:line="252" w:lineRule="auto"/>
            </w:pPr>
            <w:r>
              <w:rPr>
                <w:rFonts w:ascii="Calibri" w:hAnsi="Calibri"/>
                <w:b w:val="0"/>
                <w:i w:val="0"/>
                <w:color w:val="111111"/>
                <w:sz w:val="17"/>
              </w:rPr>
              <w:t>ADR-004</w:t>
            </w:r>
          </w:p>
        </w:tc>
        <w:tc>
          <w:tcPr>
            <w:tcW w:type="dxa" w:w="2600"/>
          </w:tcPr>
          <w:p>
            <w:pPr>
              <w:spacing w:after="0" w:line="252" w:lineRule="auto"/>
            </w:pPr>
            <w:r>
              <w:rPr>
                <w:rFonts w:ascii="Calibri" w:hAnsi="Calibri"/>
                <w:b w:val="0"/>
                <w:i w:val="0"/>
                <w:color w:val="111111"/>
                <w:sz w:val="17"/>
              </w:rPr>
              <w:t>Team-level lineup states</w:t>
            </w:r>
          </w:p>
        </w:tc>
        <w:tc>
          <w:tcPr>
            <w:tcW w:type="dxa" w:w="5660"/>
          </w:tcPr>
          <w:p>
            <w:pPr>
              <w:spacing w:after="0" w:line="252" w:lineRule="auto"/>
            </w:pPr>
            <w:r>
              <w:rPr>
                <w:rFonts w:ascii="Calibri" w:hAnsi="Calibri"/>
                <w:b w:val="0"/>
                <w:i w:val="0"/>
                <w:color w:val="111111"/>
                <w:sz w:val="17"/>
              </w:rPr>
              <w:t>Track Home and Away independently and derive matchup approval status.</w:t>
            </w:r>
          </w:p>
        </w:tc>
      </w:tr>
      <w:tr>
        <w:tc>
          <w:tcPr>
            <w:tcW w:type="dxa" w:w="1100"/>
          </w:tcPr>
          <w:p>
            <w:pPr>
              <w:spacing w:after="0" w:line="252" w:lineRule="auto"/>
            </w:pPr>
            <w:r>
              <w:rPr>
                <w:rFonts w:ascii="Calibri" w:hAnsi="Calibri"/>
                <w:b w:val="0"/>
                <w:i w:val="0"/>
                <w:color w:val="111111"/>
                <w:sz w:val="17"/>
              </w:rPr>
              <w:t>ADR-005</w:t>
            </w:r>
          </w:p>
        </w:tc>
        <w:tc>
          <w:tcPr>
            <w:tcW w:type="dxa" w:w="2600"/>
          </w:tcPr>
          <w:p>
            <w:pPr>
              <w:spacing w:after="0" w:line="252" w:lineRule="auto"/>
            </w:pPr>
            <w:r>
              <w:rPr>
                <w:rFonts w:ascii="Calibri" w:hAnsi="Calibri"/>
                <w:b w:val="0"/>
                <w:i w:val="0"/>
                <w:color w:val="111111"/>
                <w:sz w:val="17"/>
              </w:rPr>
              <w:t>Immutable lineup revisions</w:t>
            </w:r>
          </w:p>
        </w:tc>
        <w:tc>
          <w:tcPr>
            <w:tcW w:type="dxa" w:w="5660"/>
          </w:tcPr>
          <w:p>
            <w:pPr>
              <w:spacing w:after="0" w:line="252" w:lineRule="auto"/>
            </w:pPr>
            <w:r>
              <w:rPr>
                <w:rFonts w:ascii="Calibri" w:hAnsi="Calibri"/>
                <w:b w:val="0"/>
                <w:i w:val="0"/>
                <w:color w:val="111111"/>
                <w:sz w:val="17"/>
              </w:rPr>
              <w:t>Never overwrite submitted history; current lineup points to a numbered revision.</w:t>
            </w:r>
          </w:p>
        </w:tc>
      </w:tr>
      <w:tr>
        <w:tc>
          <w:tcPr>
            <w:tcW w:type="dxa" w:w="1100"/>
          </w:tcPr>
          <w:p>
            <w:pPr>
              <w:spacing w:after="0" w:line="252" w:lineRule="auto"/>
            </w:pPr>
            <w:r>
              <w:rPr>
                <w:rFonts w:ascii="Calibri" w:hAnsi="Calibri"/>
                <w:b w:val="0"/>
                <w:i w:val="0"/>
                <w:color w:val="111111"/>
                <w:sz w:val="17"/>
              </w:rPr>
              <w:t>ADR-006</w:t>
            </w:r>
          </w:p>
        </w:tc>
        <w:tc>
          <w:tcPr>
            <w:tcW w:type="dxa" w:w="2600"/>
          </w:tcPr>
          <w:p>
            <w:pPr>
              <w:spacing w:after="0" w:line="252" w:lineRule="auto"/>
            </w:pPr>
            <w:r>
              <w:rPr>
                <w:rFonts w:ascii="Calibri" w:hAnsi="Calibri"/>
                <w:b w:val="0"/>
                <w:i w:val="0"/>
                <w:color w:val="111111"/>
                <w:sz w:val="17"/>
              </w:rPr>
              <w:t>Separate reset exception</w:t>
            </w:r>
          </w:p>
        </w:tc>
        <w:tc>
          <w:tcPr>
            <w:tcW w:type="dxa" w:w="5660"/>
          </w:tcPr>
          <w:p>
            <w:pPr>
              <w:spacing w:after="0" w:line="252" w:lineRule="auto"/>
            </w:pPr>
            <w:r>
              <w:rPr>
                <w:rFonts w:ascii="Calibri" w:hAnsi="Calibri"/>
                <w:b w:val="0"/>
                <w:i w:val="0"/>
                <w:color w:val="111111"/>
                <w:sz w:val="17"/>
              </w:rPr>
              <w:t>Fully approved lineups cannot be changed through normal approval; reset always affects both.</w:t>
            </w:r>
          </w:p>
        </w:tc>
      </w:tr>
      <w:tr>
        <w:tc>
          <w:tcPr>
            <w:tcW w:type="dxa" w:w="1100"/>
          </w:tcPr>
          <w:p>
            <w:pPr>
              <w:spacing w:after="0" w:line="252" w:lineRule="auto"/>
            </w:pPr>
            <w:r>
              <w:rPr>
                <w:rFonts w:ascii="Calibri" w:hAnsi="Calibri"/>
                <w:b w:val="0"/>
                <w:i w:val="0"/>
                <w:color w:val="111111"/>
                <w:sz w:val="17"/>
              </w:rPr>
              <w:t>ADR-007</w:t>
            </w:r>
          </w:p>
        </w:tc>
        <w:tc>
          <w:tcPr>
            <w:tcW w:type="dxa" w:w="2600"/>
          </w:tcPr>
          <w:p>
            <w:pPr>
              <w:spacing w:after="0" w:line="252" w:lineRule="auto"/>
            </w:pPr>
            <w:r>
              <w:rPr>
                <w:rFonts w:ascii="Calibri" w:hAnsi="Calibri"/>
                <w:b w:val="0"/>
                <w:i w:val="0"/>
                <w:color w:val="111111"/>
                <w:sz w:val="17"/>
              </w:rPr>
              <w:t>On-demand score inspection</w:t>
            </w:r>
          </w:p>
        </w:tc>
        <w:tc>
          <w:tcPr>
            <w:tcW w:type="dxa" w:w="5660"/>
          </w:tcPr>
          <w:p>
            <w:pPr>
              <w:spacing w:after="0" w:line="252" w:lineRule="auto"/>
            </w:pPr>
            <w:r>
              <w:rPr>
                <w:rFonts w:ascii="Calibri" w:hAnsi="Calibri"/>
                <w:b w:val="0"/>
                <w:i w:val="0"/>
                <w:color w:val="111111"/>
                <w:sz w:val="17"/>
              </w:rPr>
              <w:t>Do not maintain scoreActivityStarted; query and re-read line records only when reset is requested.</w:t>
            </w:r>
          </w:p>
        </w:tc>
      </w:tr>
      <w:tr>
        <w:tc>
          <w:tcPr>
            <w:tcW w:type="dxa" w:w="1100"/>
          </w:tcPr>
          <w:p>
            <w:pPr>
              <w:spacing w:after="0" w:line="252" w:lineRule="auto"/>
            </w:pPr>
            <w:r>
              <w:rPr>
                <w:rFonts w:ascii="Calibri" w:hAnsi="Calibri"/>
                <w:b w:val="0"/>
                <w:i w:val="0"/>
                <w:color w:val="111111"/>
                <w:sz w:val="17"/>
              </w:rPr>
              <w:t>ADR-008</w:t>
            </w:r>
          </w:p>
        </w:tc>
        <w:tc>
          <w:tcPr>
            <w:tcW w:type="dxa" w:w="2600"/>
          </w:tcPr>
          <w:p>
            <w:pPr>
              <w:spacing w:after="0" w:line="252" w:lineRule="auto"/>
            </w:pPr>
            <w:r>
              <w:rPr>
                <w:rFonts w:ascii="Calibri" w:hAnsi="Calibri"/>
                <w:b w:val="0"/>
                <w:i w:val="0"/>
                <w:color w:val="111111"/>
                <w:sz w:val="17"/>
              </w:rPr>
              <w:t>Future trusted service seam</w:t>
            </w:r>
          </w:p>
        </w:tc>
        <w:tc>
          <w:tcPr>
            <w:tcW w:type="dxa" w:w="5660"/>
          </w:tcPr>
          <w:p>
            <w:pPr>
              <w:spacing w:after="0" w:line="252" w:lineRule="auto"/>
            </w:pPr>
            <w:r>
              <w:rPr>
                <w:rFonts w:ascii="Calibri" w:hAnsi="Calibri"/>
                <w:b w:val="0"/>
                <w:i w:val="0"/>
                <w:color w:val="111111"/>
                <w:sz w:val="17"/>
              </w:rPr>
              <w:t>Expose workflow operations through one client service so Cloud Functions can replace transaction internals.</w:t>
            </w:r>
          </w:p>
        </w:tc>
      </w:tr>
    </w:tbl>
    <w:p>
      <w:pPr>
        <w:spacing w:after="40"/>
      </w:pPr>
    </w:p>
    <w:p>
      <w:pPr>
        <w:pStyle w:val="Heading1"/>
        <w:keepNext/>
      </w:pPr>
      <w:r>
        <w:t>3. System context</w:t>
      </w:r>
    </w:p>
    <w:p>
      <w:r>
        <w:drawing>
          <wp:inline xmlns:a="http://schemas.openxmlformats.org/drawingml/2006/main" xmlns:pic="http://schemas.openxmlformats.org/drawingml/2006/picture">
            <wp:extent cx="5943600" cy="2674620"/>
            <wp:docPr id="1" name="Picture 1" descr="AlphaOpen system context showing guests, authenticated users, Firebase Hosting, Authentication, Firestore, and Google identity provider." title="AlphaOpen system context showing guests, authenticated users, Firebase Hosting, Authentication, Firestore, and Google identity provider."/>
            <wp:cNvGraphicFramePr>
              <a:graphicFrameLocks noChangeAspect="1"/>
            </wp:cNvGraphicFramePr>
            <a:graphic>
              <a:graphicData uri="http://schemas.openxmlformats.org/drawingml/2006/picture">
                <pic:pic>
                  <pic:nvPicPr>
                    <pic:cNvPr id="0" name="system_context.png"/>
                    <pic:cNvPicPr/>
                  </pic:nvPicPr>
                  <pic:blipFill>
                    <a:blip r:embed="rId11"/>
                    <a:stretch>
                      <a:fillRect/>
                    </a:stretch>
                  </pic:blipFill>
                  <pic:spPr>
                    <a:xfrm>
                      <a:off x="0" y="0"/>
                      <a:ext cx="5943600" cy="2674620"/>
                    </a:xfrm>
                    <a:prstGeom prst="rect"/>
                  </pic:spPr>
                </pic:pic>
              </a:graphicData>
            </a:graphic>
          </wp:inline>
        </w:drawing>
      </w:r>
    </w:p>
    <w:p>
      <w:pPr>
        <w:jc w:val="center"/>
      </w:pPr>
      <w:r>
        <w:rPr>
          <w:rFonts w:ascii="Calibri" w:hAnsi="Calibri"/>
          <w:b w:val="0"/>
          <w:i/>
          <w:color w:val="5B6573"/>
          <w:sz w:val="18"/>
        </w:rPr>
        <w:t>Figure 1. System context and managed-service boundaries</w:t>
      </w:r>
    </w:p>
    <w:p>
      <w:pPr>
        <w:pStyle w:val="Heading2"/>
        <w:keepNext/>
      </w:pPr>
      <w:r>
        <w:t>3.1 Actors and trust boundaries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650"/>
        <w:gridCol w:w="2500"/>
        <w:gridCol w:w="5210"/>
      </w:tblGrid>
      <w:tr>
        <w:trPr>
          <w:tblHeader w:val="true"/>
        </w:trPr>
        <w:tc>
          <w:tcPr>
            <w:tcW w:type="dxa" w:w="165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Actor</w:t>
            </w:r>
          </w:p>
        </w:tc>
        <w:tc>
          <w:tcPr>
            <w:tcW w:type="dxa" w:w="25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Trust classification</w:t>
            </w:r>
          </w:p>
        </w:tc>
        <w:tc>
          <w:tcPr>
            <w:tcW w:type="dxa" w:w="521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Primary access</w:t>
            </w:r>
          </w:p>
        </w:tc>
      </w:tr>
      <w:tr>
        <w:tc>
          <w:tcPr>
            <w:tcW w:type="dxa" w:w="1650"/>
          </w:tcPr>
          <w:p>
            <w:pPr>
              <w:spacing w:after="0" w:line="252" w:lineRule="auto"/>
            </w:pPr>
            <w:r>
              <w:rPr>
                <w:rFonts w:ascii="Calibri" w:hAnsi="Calibri"/>
                <w:b w:val="0"/>
                <w:i w:val="0"/>
                <w:color w:val="111111"/>
                <w:sz w:val="17"/>
              </w:rPr>
              <w:t>Guest</w:t>
            </w:r>
          </w:p>
        </w:tc>
        <w:tc>
          <w:tcPr>
            <w:tcW w:type="dxa" w:w="2500"/>
          </w:tcPr>
          <w:p>
            <w:pPr>
              <w:spacing w:after="0" w:line="252" w:lineRule="auto"/>
            </w:pPr>
            <w:r>
              <w:rPr>
                <w:rFonts w:ascii="Calibri" w:hAnsi="Calibri"/>
                <w:b w:val="0"/>
                <w:i w:val="0"/>
                <w:color w:val="111111"/>
                <w:sz w:val="17"/>
              </w:rPr>
              <w:t>Untrusted anonymous browser</w:t>
            </w:r>
          </w:p>
        </w:tc>
        <w:tc>
          <w:tcPr>
            <w:tcW w:type="dxa" w:w="5210"/>
          </w:tcPr>
          <w:p>
            <w:pPr>
              <w:spacing w:after="0" w:line="252" w:lineRule="auto"/>
            </w:pPr>
            <w:r>
              <w:rPr>
                <w:rFonts w:ascii="Calibri" w:hAnsi="Calibri"/>
                <w:b w:val="0"/>
                <w:i w:val="0"/>
                <w:color w:val="111111"/>
                <w:sz w:val="17"/>
              </w:rPr>
              <w:t>Published/public documents only</w:t>
            </w:r>
          </w:p>
        </w:tc>
      </w:tr>
      <w:tr>
        <w:tc>
          <w:tcPr>
            <w:tcW w:type="dxa" w:w="1650"/>
          </w:tcPr>
          <w:p>
            <w:pPr>
              <w:spacing w:after="0" w:line="252" w:lineRule="auto"/>
            </w:pPr>
            <w:r>
              <w:rPr>
                <w:rFonts w:ascii="Calibri" w:hAnsi="Calibri"/>
                <w:b w:val="0"/>
                <w:i w:val="0"/>
                <w:color w:val="111111"/>
                <w:sz w:val="17"/>
              </w:rPr>
              <w:t>Player</w:t>
            </w:r>
          </w:p>
        </w:tc>
        <w:tc>
          <w:tcPr>
            <w:tcW w:type="dxa" w:w="2500"/>
          </w:tcPr>
          <w:p>
            <w:pPr>
              <w:spacing w:after="0" w:line="252" w:lineRule="auto"/>
            </w:pPr>
            <w:r>
              <w:rPr>
                <w:rFonts w:ascii="Calibri" w:hAnsi="Calibri"/>
                <w:b w:val="0"/>
                <w:i w:val="0"/>
                <w:color w:val="111111"/>
                <w:sz w:val="17"/>
              </w:rPr>
              <w:t>Authenticated active user</w:t>
            </w:r>
          </w:p>
        </w:tc>
        <w:tc>
          <w:tcPr>
            <w:tcW w:type="dxa" w:w="5210"/>
          </w:tcPr>
          <w:p>
            <w:pPr>
              <w:spacing w:after="0" w:line="252" w:lineRule="auto"/>
            </w:pPr>
            <w:r>
              <w:rPr>
                <w:rFonts w:ascii="Calibri" w:hAnsi="Calibri"/>
                <w:b w:val="0"/>
                <w:i w:val="0"/>
                <w:color w:val="111111"/>
                <w:sz w:val="17"/>
              </w:rPr>
              <w:t>Own account, membership, availability, permitted history</w:t>
            </w:r>
          </w:p>
        </w:tc>
      </w:tr>
      <w:tr>
        <w:tc>
          <w:tcPr>
            <w:tcW w:type="dxa" w:w="1650"/>
          </w:tcPr>
          <w:p>
            <w:pPr>
              <w:spacing w:after="0" w:line="252" w:lineRule="auto"/>
            </w:pPr>
            <w:r>
              <w:rPr>
                <w:rFonts w:ascii="Calibri" w:hAnsi="Calibri"/>
                <w:b w:val="0"/>
                <w:i w:val="0"/>
                <w:color w:val="111111"/>
                <w:sz w:val="17"/>
              </w:rPr>
              <w:t>Captain</w:t>
            </w:r>
          </w:p>
        </w:tc>
        <w:tc>
          <w:tcPr>
            <w:tcW w:type="dxa" w:w="2500"/>
          </w:tcPr>
          <w:p>
            <w:pPr>
              <w:spacing w:after="0" w:line="252" w:lineRule="auto"/>
            </w:pPr>
            <w:r>
              <w:rPr>
                <w:rFonts w:ascii="Calibri" w:hAnsi="Calibri"/>
                <w:b w:val="0"/>
                <w:i w:val="0"/>
                <w:color w:val="111111"/>
                <w:sz w:val="17"/>
              </w:rPr>
              <w:t>Authenticated operational user</w:t>
            </w:r>
          </w:p>
        </w:tc>
        <w:tc>
          <w:tcPr>
            <w:tcW w:type="dxa" w:w="5210"/>
          </w:tcPr>
          <w:p>
            <w:pPr>
              <w:spacing w:after="0" w:line="252" w:lineRule="auto"/>
            </w:pPr>
            <w:r>
              <w:rPr>
                <w:rFonts w:ascii="Calibri" w:hAnsi="Calibri"/>
                <w:b w:val="0"/>
                <w:i w:val="0"/>
                <w:color w:val="111111"/>
                <w:sz w:val="17"/>
              </w:rPr>
              <w:t>Own team lineup, scheduling, and score responsibilities</w:t>
            </w:r>
          </w:p>
        </w:tc>
      </w:tr>
      <w:tr>
        <w:tc>
          <w:tcPr>
            <w:tcW w:type="dxa" w:w="1650"/>
          </w:tcPr>
          <w:p>
            <w:pPr>
              <w:spacing w:after="0" w:line="252" w:lineRule="auto"/>
            </w:pPr>
            <w:r>
              <w:rPr>
                <w:rFonts w:ascii="Calibri" w:hAnsi="Calibri"/>
                <w:b w:val="0"/>
                <w:i w:val="0"/>
                <w:color w:val="111111"/>
                <w:sz w:val="17"/>
              </w:rPr>
              <w:t>EC</w:t>
            </w:r>
          </w:p>
        </w:tc>
        <w:tc>
          <w:tcPr>
            <w:tcW w:type="dxa" w:w="2500"/>
          </w:tcPr>
          <w:p>
            <w:pPr>
              <w:spacing w:after="0" w:line="252" w:lineRule="auto"/>
            </w:pPr>
            <w:r>
              <w:rPr>
                <w:rFonts w:ascii="Calibri" w:hAnsi="Calibri"/>
                <w:b w:val="0"/>
                <w:i w:val="0"/>
                <w:color w:val="111111"/>
                <w:sz w:val="17"/>
              </w:rPr>
              <w:t>Season administrator</w:t>
            </w:r>
          </w:p>
        </w:tc>
        <w:tc>
          <w:tcPr>
            <w:tcW w:type="dxa" w:w="5210"/>
          </w:tcPr>
          <w:p>
            <w:pPr>
              <w:spacing w:after="0" w:line="252" w:lineRule="auto"/>
            </w:pPr>
            <w:r>
              <w:rPr>
                <w:rFonts w:ascii="Calibri" w:hAnsi="Calibri"/>
                <w:b w:val="0"/>
                <w:i w:val="0"/>
                <w:color w:val="111111"/>
                <w:sz w:val="17"/>
              </w:rPr>
              <w:t>Rosters, season structure, venues, disputes, operational visibility</w:t>
            </w:r>
          </w:p>
        </w:tc>
      </w:tr>
      <w:tr>
        <w:tc>
          <w:tcPr>
            <w:tcW w:type="dxa" w:w="1650"/>
          </w:tcPr>
          <w:p>
            <w:pPr>
              <w:spacing w:after="0" w:line="252" w:lineRule="auto"/>
            </w:pPr>
            <w:r>
              <w:rPr>
                <w:rFonts w:ascii="Calibri" w:hAnsi="Calibri"/>
                <w:b w:val="0"/>
                <w:i w:val="0"/>
                <w:color w:val="111111"/>
                <w:sz w:val="17"/>
              </w:rPr>
              <w:t>Neutral Approver</w:t>
            </w:r>
          </w:p>
        </w:tc>
        <w:tc>
          <w:tcPr>
            <w:tcW w:type="dxa" w:w="2500"/>
          </w:tcPr>
          <w:p>
            <w:pPr>
              <w:spacing w:after="0" w:line="252" w:lineRule="auto"/>
            </w:pPr>
            <w:r>
              <w:rPr>
                <w:rFonts w:ascii="Calibri" w:hAnsi="Calibri"/>
                <w:b w:val="0"/>
                <w:i w:val="0"/>
                <w:color w:val="111111"/>
                <w:sz w:val="17"/>
              </w:rPr>
              <w:t>Privileged seasonal assignment</w:t>
            </w:r>
          </w:p>
        </w:tc>
        <w:tc>
          <w:tcPr>
            <w:tcW w:type="dxa" w:w="5210"/>
          </w:tcPr>
          <w:p>
            <w:pPr>
              <w:spacing w:after="0" w:line="252" w:lineRule="auto"/>
            </w:pPr>
            <w:r>
              <w:rPr>
                <w:rFonts w:ascii="Calibri" w:hAnsi="Calibri"/>
                <w:b w:val="0"/>
                <w:i w:val="0"/>
                <w:color w:val="111111"/>
                <w:sz w:val="17"/>
              </w:rPr>
              <w:t>Either team submission; independent approval/rejection; reset exception</w:t>
            </w:r>
          </w:p>
        </w:tc>
      </w:tr>
      <w:tr>
        <w:tc>
          <w:tcPr>
            <w:tcW w:type="dxa" w:w="1650"/>
          </w:tcPr>
          <w:p>
            <w:pPr>
              <w:spacing w:after="0" w:line="252" w:lineRule="auto"/>
            </w:pPr>
            <w:r>
              <w:rPr>
                <w:rFonts w:ascii="Calibri" w:hAnsi="Calibri"/>
                <w:b w:val="0"/>
                <w:i w:val="0"/>
                <w:color w:val="111111"/>
                <w:sz w:val="17"/>
              </w:rPr>
              <w:t>Super Admin</w:t>
            </w:r>
          </w:p>
        </w:tc>
        <w:tc>
          <w:tcPr>
            <w:tcW w:type="dxa" w:w="2500"/>
          </w:tcPr>
          <w:p>
            <w:pPr>
              <w:spacing w:after="0" w:line="252" w:lineRule="auto"/>
            </w:pPr>
            <w:r>
              <w:rPr>
                <w:rFonts w:ascii="Calibri" w:hAnsi="Calibri"/>
                <w:b w:val="0"/>
                <w:i w:val="0"/>
                <w:color w:val="111111"/>
                <w:sz w:val="17"/>
              </w:rPr>
              <w:t>Highest privilege</w:t>
            </w:r>
          </w:p>
        </w:tc>
        <w:tc>
          <w:tcPr>
            <w:tcW w:type="dxa" w:w="5210"/>
          </w:tcPr>
          <w:p>
            <w:pPr>
              <w:spacing w:after="0" w:line="252" w:lineRule="auto"/>
            </w:pPr>
            <w:r>
              <w:rPr>
                <w:rFonts w:ascii="Calibri" w:hAnsi="Calibri"/>
                <w:b w:val="0"/>
                <w:i w:val="0"/>
                <w:color w:val="111111"/>
                <w:sz w:val="17"/>
              </w:rPr>
              <w:t>Global administration and all operational actions</w:t>
            </w:r>
          </w:p>
        </w:tc>
      </w:tr>
      <w:tr>
        <w:tc>
          <w:tcPr>
            <w:tcW w:type="dxa" w:w="1650"/>
          </w:tcPr>
          <w:p>
            <w:pPr>
              <w:spacing w:after="0" w:line="252" w:lineRule="auto"/>
            </w:pPr>
            <w:r>
              <w:rPr>
                <w:rFonts w:ascii="Calibri" w:hAnsi="Calibri"/>
                <w:b w:val="0"/>
                <w:i w:val="0"/>
                <w:color w:val="111111"/>
                <w:sz w:val="17"/>
              </w:rPr>
              <w:t>Firebase services</w:t>
            </w:r>
          </w:p>
        </w:tc>
        <w:tc>
          <w:tcPr>
            <w:tcW w:type="dxa" w:w="2500"/>
          </w:tcPr>
          <w:p>
            <w:pPr>
              <w:spacing w:after="0" w:line="252" w:lineRule="auto"/>
            </w:pPr>
            <w:r>
              <w:rPr>
                <w:rFonts w:ascii="Calibri" w:hAnsi="Calibri"/>
                <w:b w:val="0"/>
                <w:i w:val="0"/>
                <w:color w:val="111111"/>
                <w:sz w:val="17"/>
              </w:rPr>
              <w:t>Managed trusted platform</w:t>
            </w:r>
          </w:p>
        </w:tc>
        <w:tc>
          <w:tcPr>
            <w:tcW w:type="dxa" w:w="5210"/>
          </w:tcPr>
          <w:p>
            <w:pPr>
              <w:spacing w:after="0" w:line="252" w:lineRule="auto"/>
            </w:pPr>
            <w:r>
              <w:rPr>
                <w:rFonts w:ascii="Calibri" w:hAnsi="Calibri"/>
                <w:b w:val="0"/>
                <w:i w:val="0"/>
                <w:color w:val="111111"/>
                <w:sz w:val="17"/>
              </w:rPr>
              <w:t>Identity tokens, rule evaluation, transactions, persistence, hosting</w:t>
            </w:r>
          </w:p>
        </w:tc>
      </w:tr>
    </w:tbl>
    <w:p>
      <w:pPr>
        <w:spacing w:after="40"/>
      </w:pPr>
    </w:p>
    <w:p>
      <w:pPr>
        <w:pStyle w:val="Heading2"/>
        <w:keepNext/>
      </w:pPr>
      <w:r>
        <w:t>3.2 External dependencies</w:t>
      </w:r>
    </w:p>
    <w:p>
      <w:pPr>
        <w:pStyle w:val="ListBullet"/>
      </w:pPr>
      <w:r>
        <w:rPr>
          <w:rFonts w:ascii="Calibri" w:hAnsi="Calibri"/>
          <w:b w:val="0"/>
          <w:i w:val="0"/>
          <w:color w:val="111111"/>
          <w:sz w:val="22"/>
        </w:rPr>
        <w:t>Google Identity Provider for interactive account authentication.</w:t>
      </w:r>
    </w:p>
    <w:p>
      <w:pPr>
        <w:pStyle w:val="ListBullet"/>
      </w:pPr>
      <w:r>
        <w:rPr>
          <w:rFonts w:ascii="Calibri" w:hAnsi="Calibri"/>
          <w:b w:val="0"/>
          <w:i w:val="0"/>
          <w:color w:val="111111"/>
          <w:sz w:val="22"/>
        </w:rPr>
        <w:t>Firebase JavaScript SDK version 12.16.0 loaded from the Google CDN.</w:t>
      </w:r>
    </w:p>
    <w:p>
      <w:pPr>
        <w:pStyle w:val="ListBullet"/>
      </w:pPr>
      <w:r>
        <w:rPr>
          <w:rFonts w:ascii="Calibri" w:hAnsi="Calibri"/>
          <w:b w:val="0"/>
          <w:i w:val="0"/>
          <w:color w:val="111111"/>
          <w:sz w:val="22"/>
        </w:rPr>
        <w:t>Firebase Hosting, Authentication, and Cloud Firestore in project alphaopen-development-2026.</w:t>
      </w:r>
    </w:p>
    <w:p>
      <w:pPr>
        <w:pStyle w:val="ListBullet"/>
      </w:pPr>
      <w:r>
        <w:rPr>
          <w:rFonts w:ascii="Calibri" w:hAnsi="Calibri"/>
          <w:b w:val="0"/>
          <w:i w:val="0"/>
          <w:color w:val="111111"/>
          <w:sz w:val="22"/>
        </w:rPr>
        <w:t>Browser platform services: service workers, Cache API, local/session persistence, dialogs, canvas, and clipboard.</w:t>
      </w:r>
    </w:p>
    <w:p>
      <w:pPr>
        <w:pStyle w:val="ListBullet"/>
      </w:pPr>
      <w:r>
        <w:rPr>
          <w:rFonts w:ascii="Calibri" w:hAnsi="Calibri"/>
          <w:b w:val="0"/>
          <w:i w:val="0"/>
          <w:color w:val="111111"/>
          <w:sz w:val="22"/>
        </w:rPr>
        <w:t>Firebase CLI for rules and hosting deployment.</w:t>
      </w:r>
    </w:p>
    <w:p>
      <w:pPr>
        <w:pStyle w:val="Heading1"/>
        <w:keepNext/>
      </w:pPr>
      <w:r>
        <w:t>4. Logical application architecture</w:t>
      </w:r>
    </w:p>
    <w:p>
      <w:r>
        <w:drawing>
          <wp:inline xmlns:a="http://schemas.openxmlformats.org/drawingml/2006/main" xmlns:pic="http://schemas.openxmlformats.org/drawingml/2006/picture">
            <wp:extent cx="5943600" cy="2674620"/>
            <wp:docPr id="2" name="Picture 2" descr="Logical component architecture showing presentation, routing, domain modules, workflow services, authentication, Firestore, and PWA runtime." title="Logical component architecture showing presentation, routing, domain modules, workflow services, authentication, Firestore, and PWA runtime."/>
            <wp:cNvGraphicFramePr>
              <a:graphicFrameLocks noChangeAspect="1"/>
            </wp:cNvGraphicFramePr>
            <a:graphic>
              <a:graphicData uri="http://schemas.openxmlformats.org/drawingml/2006/picture">
                <pic:pic>
                  <pic:nvPicPr>
                    <pic:cNvPr id="0" name="logical_architecture.png"/>
                    <pic:cNvPicPr/>
                  </pic:nvPicPr>
                  <pic:blipFill>
                    <a:blip r:embed="rId12"/>
                    <a:stretch>
                      <a:fillRect/>
                    </a:stretch>
                  </pic:blipFill>
                  <pic:spPr>
                    <a:xfrm>
                      <a:off x="0" y="0"/>
                      <a:ext cx="5943600" cy="2674620"/>
                    </a:xfrm>
                    <a:prstGeom prst="rect"/>
                  </pic:spPr>
                </pic:pic>
              </a:graphicData>
            </a:graphic>
          </wp:inline>
        </w:drawing>
      </w:r>
    </w:p>
    <w:p>
      <w:pPr>
        <w:jc w:val="center"/>
      </w:pPr>
      <w:r>
        <w:rPr>
          <w:rFonts w:ascii="Calibri" w:hAnsi="Calibri"/>
          <w:b w:val="0"/>
          <w:i/>
          <w:color w:val="5B6573"/>
          <w:sz w:val="18"/>
        </w:rPr>
        <w:t>Figure 2. Browser modules and Firebase service boundaries</w:t>
      </w:r>
    </w:p>
    <w:p>
      <w:pPr>
        <w:pStyle w:val="Heading2"/>
        <w:keepNext/>
      </w:pPr>
      <w:r>
        <w:t>4.1 Component catalog</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750"/>
        <w:gridCol w:w="3100"/>
        <w:gridCol w:w="4510"/>
      </w:tblGrid>
      <w:tr>
        <w:trPr>
          <w:tblHeader w:val="true"/>
        </w:trPr>
        <w:tc>
          <w:tcPr>
            <w:tcW w:type="dxa" w:w="175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Component</w:t>
            </w:r>
          </w:p>
        </w:tc>
        <w:tc>
          <w:tcPr>
            <w:tcW w:type="dxa" w:w="31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Primary modules</w:t>
            </w:r>
          </w:p>
        </w:tc>
        <w:tc>
          <w:tcPr>
            <w:tcW w:type="dxa" w:w="451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Responsibility</w:t>
            </w:r>
          </w:p>
        </w:tc>
      </w:tr>
      <w:tr>
        <w:tc>
          <w:tcPr>
            <w:tcW w:type="dxa" w:w="1750"/>
          </w:tcPr>
          <w:p>
            <w:pPr>
              <w:spacing w:after="0" w:line="252" w:lineRule="auto"/>
            </w:pPr>
            <w:r>
              <w:rPr>
                <w:rFonts w:ascii="Calibri" w:hAnsi="Calibri"/>
                <w:b w:val="0"/>
                <w:i w:val="0"/>
                <w:color w:val="111111"/>
                <w:sz w:val="16"/>
              </w:rPr>
              <w:t>Application shell</w:t>
            </w:r>
          </w:p>
        </w:tc>
        <w:tc>
          <w:tcPr>
            <w:tcW w:type="dxa" w:w="3100"/>
          </w:tcPr>
          <w:p>
            <w:pPr>
              <w:spacing w:after="0" w:line="252" w:lineRule="auto"/>
            </w:pPr>
            <w:r>
              <w:rPr>
                <w:rFonts w:ascii="Calibri" w:hAnsi="Calibri"/>
                <w:b w:val="0"/>
                <w:i w:val="0"/>
                <w:color w:val="111111"/>
                <w:sz w:val="16"/>
              </w:rPr>
              <w:t>index.html, styles.css, app.js</w:t>
            </w:r>
          </w:p>
        </w:tc>
        <w:tc>
          <w:tcPr>
            <w:tcW w:type="dxa" w:w="4510"/>
          </w:tcPr>
          <w:p>
            <w:pPr>
              <w:spacing w:after="0" w:line="252" w:lineRule="auto"/>
            </w:pPr>
            <w:r>
              <w:rPr>
                <w:rFonts w:ascii="Calibri" w:hAnsi="Calibri"/>
                <w:b w:val="0"/>
                <w:i w:val="0"/>
                <w:color w:val="111111"/>
                <w:sz w:val="16"/>
              </w:rPr>
              <w:t>Routes, navigation, responsive views, dialogs, common rendering.</w:t>
            </w:r>
          </w:p>
        </w:tc>
      </w:tr>
      <w:tr>
        <w:tc>
          <w:tcPr>
            <w:tcW w:type="dxa" w:w="1750"/>
          </w:tcPr>
          <w:p>
            <w:pPr>
              <w:spacing w:after="0" w:line="252" w:lineRule="auto"/>
            </w:pPr>
            <w:r>
              <w:rPr>
                <w:rFonts w:ascii="Calibri" w:hAnsi="Calibri"/>
                <w:b w:val="0"/>
                <w:i w:val="0"/>
                <w:color w:val="111111"/>
                <w:sz w:val="16"/>
              </w:rPr>
              <w:t>Runtime loader</w:t>
            </w:r>
          </w:p>
        </w:tc>
        <w:tc>
          <w:tcPr>
            <w:tcW w:type="dxa" w:w="3100"/>
          </w:tcPr>
          <w:p>
            <w:pPr>
              <w:spacing w:after="0" w:line="252" w:lineRule="auto"/>
            </w:pPr>
            <w:r>
              <w:rPr>
                <w:rFonts w:ascii="Calibri" w:hAnsi="Calibri"/>
                <w:b w:val="0"/>
                <w:i w:val="0"/>
                <w:color w:val="111111"/>
                <w:sz w:val="16"/>
              </w:rPr>
              <w:t>runtime-loader.js and feature bootstraps</w:t>
            </w:r>
          </w:p>
        </w:tc>
        <w:tc>
          <w:tcPr>
            <w:tcW w:type="dxa" w:w="4510"/>
          </w:tcPr>
          <w:p>
            <w:pPr>
              <w:spacing w:after="0" w:line="252" w:lineRule="auto"/>
            </w:pPr>
            <w:r>
              <w:rPr>
                <w:rFonts w:ascii="Calibri" w:hAnsi="Calibri"/>
                <w:b w:val="0"/>
                <w:i w:val="0"/>
                <w:color w:val="111111"/>
                <w:sz w:val="16"/>
              </w:rPr>
              <w:t>Loads core Firebase modules and route-specific modules on demand.</w:t>
            </w:r>
          </w:p>
        </w:tc>
      </w:tr>
      <w:tr>
        <w:tc>
          <w:tcPr>
            <w:tcW w:type="dxa" w:w="1750"/>
          </w:tcPr>
          <w:p>
            <w:pPr>
              <w:spacing w:after="0" w:line="252" w:lineRule="auto"/>
            </w:pPr>
            <w:r>
              <w:rPr>
                <w:rFonts w:ascii="Calibri" w:hAnsi="Calibri"/>
                <w:b w:val="0"/>
                <w:i w:val="0"/>
                <w:color w:val="111111"/>
                <w:sz w:val="16"/>
              </w:rPr>
              <w:t>Identity</w:t>
            </w:r>
          </w:p>
        </w:tc>
        <w:tc>
          <w:tcPr>
            <w:tcW w:type="dxa" w:w="3100"/>
          </w:tcPr>
          <w:p>
            <w:pPr>
              <w:spacing w:after="0" w:line="252" w:lineRule="auto"/>
            </w:pPr>
            <w:r>
              <w:rPr>
                <w:rFonts w:ascii="Calibri" w:hAnsi="Calibri"/>
                <w:b w:val="0"/>
                <w:i w:val="0"/>
                <w:color w:val="111111"/>
                <w:sz w:val="16"/>
              </w:rPr>
              <w:t>firebase-auth.js, player-identity.js</w:t>
            </w:r>
          </w:p>
        </w:tc>
        <w:tc>
          <w:tcPr>
            <w:tcW w:type="dxa" w:w="4510"/>
          </w:tcPr>
          <w:p>
            <w:pPr>
              <w:spacing w:after="0" w:line="252" w:lineRule="auto"/>
            </w:pPr>
            <w:r>
              <w:rPr>
                <w:rFonts w:ascii="Calibri" w:hAnsi="Calibri"/>
                <w:b w:val="0"/>
                <w:i w:val="0"/>
                <w:color w:val="111111"/>
                <w:sz w:val="16"/>
              </w:rPr>
              <w:t>Google sign-in, verified email matching, profile provisioning, authorization context.</w:t>
            </w:r>
          </w:p>
        </w:tc>
      </w:tr>
      <w:tr>
        <w:tc>
          <w:tcPr>
            <w:tcW w:type="dxa" w:w="1750"/>
          </w:tcPr>
          <w:p>
            <w:pPr>
              <w:spacing w:after="0" w:line="252" w:lineRule="auto"/>
            </w:pPr>
            <w:r>
              <w:rPr>
                <w:rFonts w:ascii="Calibri" w:hAnsi="Calibri"/>
                <w:b w:val="0"/>
                <w:i w:val="0"/>
                <w:color w:val="111111"/>
                <w:sz w:val="16"/>
              </w:rPr>
              <w:t>Data access</w:t>
            </w:r>
          </w:p>
        </w:tc>
        <w:tc>
          <w:tcPr>
            <w:tcW w:type="dxa" w:w="3100"/>
          </w:tcPr>
          <w:p>
            <w:pPr>
              <w:spacing w:after="0" w:line="252" w:lineRule="auto"/>
            </w:pPr>
            <w:r>
              <w:rPr>
                <w:rFonts w:ascii="Calibri" w:hAnsi="Calibri"/>
                <w:b w:val="0"/>
                <w:i w:val="0"/>
                <w:color w:val="111111"/>
                <w:sz w:val="16"/>
              </w:rPr>
              <w:t>firebase-client.js, firebase-data.js</w:t>
            </w:r>
          </w:p>
        </w:tc>
        <w:tc>
          <w:tcPr>
            <w:tcW w:type="dxa" w:w="4510"/>
          </w:tcPr>
          <w:p>
            <w:pPr>
              <w:spacing w:after="0" w:line="252" w:lineRule="auto"/>
            </w:pPr>
            <w:r>
              <w:rPr>
                <w:rFonts w:ascii="Calibri" w:hAnsi="Calibri"/>
                <w:b w:val="0"/>
                <w:i w:val="0"/>
                <w:color w:val="111111"/>
                <w:sz w:val="16"/>
              </w:rPr>
              <w:t>Firebase initialization, public/operational reads, UI data hydration.</w:t>
            </w:r>
          </w:p>
        </w:tc>
      </w:tr>
      <w:tr>
        <w:tc>
          <w:tcPr>
            <w:tcW w:type="dxa" w:w="1750"/>
          </w:tcPr>
          <w:p>
            <w:pPr>
              <w:spacing w:after="0" w:line="252" w:lineRule="auto"/>
            </w:pPr>
            <w:r>
              <w:rPr>
                <w:rFonts w:ascii="Calibri" w:hAnsi="Calibri"/>
                <w:b w:val="0"/>
                <w:i w:val="0"/>
                <w:color w:val="111111"/>
                <w:sz w:val="16"/>
              </w:rPr>
              <w:t>Lineup workflow</w:t>
            </w:r>
          </w:p>
        </w:tc>
        <w:tc>
          <w:tcPr>
            <w:tcW w:type="dxa" w:w="3100"/>
          </w:tcPr>
          <w:p>
            <w:pPr>
              <w:spacing w:after="0" w:line="252" w:lineRule="auto"/>
            </w:pPr>
            <w:r>
              <w:rPr>
                <w:rFonts w:ascii="Calibri" w:hAnsi="Calibri"/>
                <w:b w:val="0"/>
                <w:i w:val="0"/>
                <w:color w:val="111111"/>
                <w:sz w:val="16"/>
              </w:rPr>
              <w:t>lineup-submit.js, lineup-approve.js, lineup-reset.js, lineup-workflow-client.js</w:t>
            </w:r>
          </w:p>
        </w:tc>
        <w:tc>
          <w:tcPr>
            <w:tcW w:type="dxa" w:w="4510"/>
          </w:tcPr>
          <w:p>
            <w:pPr>
              <w:spacing w:after="0" w:line="252" w:lineRule="auto"/>
            </w:pPr>
            <w:r>
              <w:rPr>
                <w:rFonts w:ascii="Calibri" w:hAnsi="Calibri"/>
                <w:b w:val="0"/>
                <w:i w:val="0"/>
                <w:color w:val="111111"/>
                <w:sz w:val="16"/>
              </w:rPr>
              <w:t>Draft, submit, approve, reject, publish, and reset transactions.</w:t>
            </w:r>
          </w:p>
        </w:tc>
      </w:tr>
      <w:tr>
        <w:tc>
          <w:tcPr>
            <w:tcW w:type="dxa" w:w="1750"/>
          </w:tcPr>
          <w:p>
            <w:pPr>
              <w:spacing w:after="0" w:line="252" w:lineRule="auto"/>
            </w:pPr>
            <w:r>
              <w:rPr>
                <w:rFonts w:ascii="Calibri" w:hAnsi="Calibri"/>
                <w:b w:val="0"/>
                <w:i w:val="0"/>
                <w:color w:val="111111"/>
                <w:sz w:val="16"/>
              </w:rPr>
              <w:t>Match operations</w:t>
            </w:r>
          </w:p>
        </w:tc>
        <w:tc>
          <w:tcPr>
            <w:tcW w:type="dxa" w:w="3100"/>
          </w:tcPr>
          <w:p>
            <w:pPr>
              <w:spacing w:after="0" w:line="252" w:lineRule="auto"/>
            </w:pPr>
            <w:r>
              <w:rPr>
                <w:rFonts w:ascii="Calibri" w:hAnsi="Calibri"/>
                <w:b w:val="0"/>
                <w:i w:val="0"/>
                <w:color w:val="111111"/>
                <w:sz w:val="16"/>
              </w:rPr>
              <w:t>match-management.js, score-rules.js</w:t>
            </w:r>
          </w:p>
        </w:tc>
        <w:tc>
          <w:tcPr>
            <w:tcW w:type="dxa" w:w="4510"/>
          </w:tcPr>
          <w:p>
            <w:pPr>
              <w:spacing w:after="0" w:line="252" w:lineRule="auto"/>
            </w:pPr>
            <w:r>
              <w:rPr>
                <w:rFonts w:ascii="Calibri" w:hAnsi="Calibri"/>
                <w:b w:val="0"/>
                <w:i w:val="0"/>
                <w:color w:val="111111"/>
                <w:sz w:val="16"/>
              </w:rPr>
              <w:t>Schedule entry, score validation, points, completion locking.</w:t>
            </w:r>
          </w:p>
        </w:tc>
      </w:tr>
      <w:tr>
        <w:tc>
          <w:tcPr>
            <w:tcW w:type="dxa" w:w="1750"/>
          </w:tcPr>
          <w:p>
            <w:pPr>
              <w:spacing w:after="0" w:line="252" w:lineRule="auto"/>
            </w:pPr>
            <w:r>
              <w:rPr>
                <w:rFonts w:ascii="Calibri" w:hAnsi="Calibri"/>
                <w:b w:val="0"/>
                <w:i w:val="0"/>
                <w:color w:val="111111"/>
                <w:sz w:val="16"/>
              </w:rPr>
              <w:t>Season administration</w:t>
            </w:r>
          </w:p>
        </w:tc>
        <w:tc>
          <w:tcPr>
            <w:tcW w:type="dxa" w:w="3100"/>
          </w:tcPr>
          <w:p>
            <w:pPr>
              <w:spacing w:after="0" w:line="252" w:lineRule="auto"/>
            </w:pPr>
            <w:r>
              <w:rPr>
                <w:rFonts w:ascii="Calibri" w:hAnsi="Calibri"/>
                <w:b w:val="0"/>
                <w:i w:val="0"/>
                <w:color w:val="111111"/>
                <w:sz w:val="16"/>
              </w:rPr>
              <w:t>season-*.js, roster-admin-v3.js, venue-admin.js</w:t>
            </w:r>
          </w:p>
        </w:tc>
        <w:tc>
          <w:tcPr>
            <w:tcW w:type="dxa" w:w="4510"/>
          </w:tcPr>
          <w:p>
            <w:pPr>
              <w:spacing w:after="0" w:line="252" w:lineRule="auto"/>
            </w:pPr>
            <w:r>
              <w:rPr>
                <w:rFonts w:ascii="Calibri" w:hAnsi="Calibri"/>
                <w:b w:val="0"/>
                <w:i w:val="0"/>
                <w:color w:val="111111"/>
                <w:sz w:val="16"/>
              </w:rPr>
              <w:t>Season import, teams, matchups, rosters, venues, reset.</w:t>
            </w:r>
          </w:p>
        </w:tc>
      </w:tr>
      <w:tr>
        <w:tc>
          <w:tcPr>
            <w:tcW w:type="dxa" w:w="1750"/>
          </w:tcPr>
          <w:p>
            <w:pPr>
              <w:spacing w:after="0" w:line="252" w:lineRule="auto"/>
            </w:pPr>
            <w:r>
              <w:rPr>
                <w:rFonts w:ascii="Calibri" w:hAnsi="Calibri"/>
                <w:b w:val="0"/>
                <w:i w:val="0"/>
                <w:color w:val="111111"/>
                <w:sz w:val="16"/>
              </w:rPr>
              <w:t>Public projection</w:t>
            </w:r>
          </w:p>
        </w:tc>
        <w:tc>
          <w:tcPr>
            <w:tcW w:type="dxa" w:w="3100"/>
          </w:tcPr>
          <w:p>
            <w:pPr>
              <w:spacing w:after="0" w:line="252" w:lineRule="auto"/>
            </w:pPr>
            <w:r>
              <w:rPr>
                <w:rFonts w:ascii="Calibri" w:hAnsi="Calibri"/>
                <w:b w:val="0"/>
                <w:i w:val="0"/>
                <w:color w:val="111111"/>
                <w:sz w:val="16"/>
              </w:rPr>
              <w:t>public-season-dashboard.js</w:t>
            </w:r>
          </w:p>
        </w:tc>
        <w:tc>
          <w:tcPr>
            <w:tcW w:type="dxa" w:w="4510"/>
          </w:tcPr>
          <w:p>
            <w:pPr>
              <w:spacing w:after="0" w:line="252" w:lineRule="auto"/>
            </w:pPr>
            <w:r>
              <w:rPr>
                <w:rFonts w:ascii="Calibri" w:hAnsi="Calibri"/>
                <w:b w:val="0"/>
                <w:i w:val="0"/>
                <w:color w:val="111111"/>
                <w:sz w:val="16"/>
              </w:rPr>
              <w:t>Publishes guest-safe season data after authorized operational changes.</w:t>
            </w:r>
          </w:p>
        </w:tc>
      </w:tr>
      <w:tr>
        <w:tc>
          <w:tcPr>
            <w:tcW w:type="dxa" w:w="1750"/>
          </w:tcPr>
          <w:p>
            <w:pPr>
              <w:spacing w:after="0" w:line="252" w:lineRule="auto"/>
            </w:pPr>
            <w:r>
              <w:rPr>
                <w:rFonts w:ascii="Calibri" w:hAnsi="Calibri"/>
                <w:b w:val="0"/>
                <w:i w:val="0"/>
                <w:color w:val="111111"/>
                <w:sz w:val="16"/>
              </w:rPr>
              <w:t>Offline shell</w:t>
            </w:r>
          </w:p>
        </w:tc>
        <w:tc>
          <w:tcPr>
            <w:tcW w:type="dxa" w:w="3100"/>
          </w:tcPr>
          <w:p>
            <w:pPr>
              <w:spacing w:after="0" w:line="252" w:lineRule="auto"/>
            </w:pPr>
            <w:r>
              <w:rPr>
                <w:rFonts w:ascii="Calibri" w:hAnsi="Calibri"/>
                <w:b w:val="0"/>
                <w:i w:val="0"/>
                <w:color w:val="111111"/>
                <w:sz w:val="16"/>
              </w:rPr>
              <w:t>service-worker.js, manifest.webmanifest, pwa.js</w:t>
            </w:r>
          </w:p>
        </w:tc>
        <w:tc>
          <w:tcPr>
            <w:tcW w:type="dxa" w:w="4510"/>
          </w:tcPr>
          <w:p>
            <w:pPr>
              <w:spacing w:after="0" w:line="252" w:lineRule="auto"/>
            </w:pPr>
            <w:r>
              <w:rPr>
                <w:rFonts w:ascii="Calibri" w:hAnsi="Calibri"/>
                <w:b w:val="0"/>
                <w:i w:val="0"/>
                <w:color w:val="111111"/>
                <w:sz w:val="16"/>
              </w:rPr>
              <w:t>Installability, cache lifecycle, offline navigation fallback.</w:t>
            </w:r>
          </w:p>
        </w:tc>
      </w:tr>
      <w:tr>
        <w:tc>
          <w:tcPr>
            <w:tcW w:type="dxa" w:w="1750"/>
          </w:tcPr>
          <w:p>
            <w:pPr>
              <w:spacing w:after="0" w:line="252" w:lineRule="auto"/>
            </w:pPr>
            <w:r>
              <w:rPr>
                <w:rFonts w:ascii="Calibri" w:hAnsi="Calibri"/>
                <w:b w:val="0"/>
                <w:i w:val="0"/>
                <w:color w:val="111111"/>
                <w:sz w:val="16"/>
              </w:rPr>
              <w:t>Security policy</w:t>
            </w:r>
          </w:p>
        </w:tc>
        <w:tc>
          <w:tcPr>
            <w:tcW w:type="dxa" w:w="3100"/>
          </w:tcPr>
          <w:p>
            <w:pPr>
              <w:spacing w:after="0" w:line="252" w:lineRule="auto"/>
            </w:pPr>
            <w:r>
              <w:rPr>
                <w:rFonts w:ascii="Calibri" w:hAnsi="Calibri"/>
                <w:b w:val="0"/>
                <w:i w:val="0"/>
                <w:color w:val="111111"/>
                <w:sz w:val="16"/>
              </w:rPr>
              <w:t>firestore.rules, firestore.indexes.json</w:t>
            </w:r>
          </w:p>
        </w:tc>
        <w:tc>
          <w:tcPr>
            <w:tcW w:type="dxa" w:w="4510"/>
          </w:tcPr>
          <w:p>
            <w:pPr>
              <w:spacing w:after="0" w:line="252" w:lineRule="auto"/>
            </w:pPr>
            <w:r>
              <w:rPr>
                <w:rFonts w:ascii="Calibri" w:hAnsi="Calibri"/>
                <w:b w:val="0"/>
                <w:i w:val="0"/>
                <w:color w:val="111111"/>
                <w:sz w:val="16"/>
              </w:rPr>
              <w:t>Authorization, transition constraints, query support.</w:t>
            </w:r>
          </w:p>
        </w:tc>
      </w:tr>
    </w:tbl>
    <w:p>
      <w:pPr>
        <w:spacing w:after="40"/>
      </w:pPr>
    </w:p>
    <w:p>
      <w:pPr>
        <w:pStyle w:val="Heading2"/>
        <w:keepNext/>
      </w:pPr>
      <w:r>
        <w:t>4.2 Routing and module lifecycle</w:t>
      </w:r>
    </w:p>
    <w:p>
      <w:pPr/>
      <w:r>
        <w:rPr>
          <w:rFonts w:ascii="Calibri" w:hAnsi="Calibri"/>
          <w:b w:val="0"/>
          <w:i w:val="0"/>
          <w:color w:val="111111"/>
          <w:sz w:val="22"/>
        </w:rPr>
        <w:t>The application is a hash-routed SPA. Views are declared as sections in index.html and activated by app.js. The runtime loader imports Firebase core modules and loads route-specific administrative modules only when their route or admin panel becomes active. Separate small bootstrap modules initialize lineup, approval, reset, EC status, and match-management features.</w:t>
      </w:r>
    </w:p>
    <w:p>
      <w:pPr/>
      <w:r>
        <w:rPr>
          <w:rFonts w:ascii="Calibri" w:hAnsi="Calibri"/>
          <w:b w:val="0"/>
          <w:i w:val="0"/>
          <w:color w:val="111111"/>
          <w:sz w:val="22"/>
        </w:rPr>
        <w:t>Code assets use explicit query-string versions. Firebase Hosting sets no-cache headers for JavaScript and CSS. The service worker uses a versioned cache, applies network-first behavior to app code, and deletes earlier cache versions during activation.</w:t>
      </w:r>
    </w:p>
    <w:p>
      <w:pPr>
        <w:pStyle w:val="Heading1"/>
        <w:keepNext/>
      </w:pPr>
      <w:r>
        <w:t>5. Deployment and runtime topology</w:t>
      </w:r>
    </w:p>
    <w:p>
      <w:r>
        <w:drawing>
          <wp:inline xmlns:a="http://schemas.openxmlformats.org/drawingml/2006/main" xmlns:pic="http://schemas.openxmlformats.org/drawingml/2006/picture">
            <wp:extent cx="5943600" cy="2674620"/>
            <wp:docPr id="3" name="Picture 3" descr="Production deployment topology connecting the user device and service worker to Firebase Hosting, Authentication, and Firestore." title="Production deployment topology connecting the user device and service worker to Firebase Hosting, Authentication, and Firestore."/>
            <wp:cNvGraphicFramePr>
              <a:graphicFrameLocks noChangeAspect="1"/>
            </wp:cNvGraphicFramePr>
            <a:graphic>
              <a:graphicData uri="http://schemas.openxmlformats.org/drawingml/2006/picture">
                <pic:pic>
                  <pic:nvPicPr>
                    <pic:cNvPr id="0" name="deployment_topology.png"/>
                    <pic:cNvPicPr/>
                  </pic:nvPicPr>
                  <pic:blipFill>
                    <a:blip r:embed="rId13"/>
                    <a:stretch>
                      <a:fillRect/>
                    </a:stretch>
                  </pic:blipFill>
                  <pic:spPr>
                    <a:xfrm>
                      <a:off x="0" y="0"/>
                      <a:ext cx="5943600" cy="2674620"/>
                    </a:xfrm>
                    <a:prstGeom prst="rect"/>
                  </pic:spPr>
                </pic:pic>
              </a:graphicData>
            </a:graphic>
          </wp:inline>
        </w:drawing>
      </w:r>
    </w:p>
    <w:p>
      <w:pPr>
        <w:jc w:val="center"/>
      </w:pPr>
      <w:r>
        <w:rPr>
          <w:rFonts w:ascii="Calibri" w:hAnsi="Calibri"/>
          <w:b w:val="0"/>
          <w:i/>
          <w:color w:val="5B6573"/>
          <w:sz w:val="18"/>
        </w:rPr>
        <w:t>Figure 3. Current Spark-plan production topology</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850"/>
        <w:gridCol w:w="2800"/>
        <w:gridCol w:w="4710"/>
      </w:tblGrid>
      <w:tr>
        <w:trPr>
          <w:tblHeader w:val="true"/>
        </w:trPr>
        <w:tc>
          <w:tcPr>
            <w:tcW w:type="dxa" w:w="185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Element</w:t>
            </w:r>
          </w:p>
        </w:tc>
        <w:tc>
          <w:tcPr>
            <w:tcW w:type="dxa" w:w="28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Configuration</w:t>
            </w:r>
          </w:p>
        </w:tc>
        <w:tc>
          <w:tcPr>
            <w:tcW w:type="dxa" w:w="471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Architecture note</w:t>
            </w:r>
          </w:p>
        </w:tc>
      </w:tr>
      <w:tr>
        <w:tc>
          <w:tcPr>
            <w:tcW w:type="dxa" w:w="1850"/>
          </w:tcPr>
          <w:p>
            <w:pPr>
              <w:spacing w:after="0" w:line="252" w:lineRule="auto"/>
            </w:pPr>
            <w:r>
              <w:rPr>
                <w:rFonts w:ascii="Calibri" w:hAnsi="Calibri"/>
                <w:b w:val="0"/>
                <w:i w:val="0"/>
                <w:color w:val="111111"/>
                <w:sz w:val="17"/>
              </w:rPr>
              <w:t>Firebase project</w:t>
            </w:r>
          </w:p>
        </w:tc>
        <w:tc>
          <w:tcPr>
            <w:tcW w:type="dxa" w:w="2800"/>
          </w:tcPr>
          <w:p>
            <w:pPr>
              <w:spacing w:after="0" w:line="252" w:lineRule="auto"/>
            </w:pPr>
            <w:r>
              <w:rPr>
                <w:rFonts w:ascii="Calibri" w:hAnsi="Calibri"/>
                <w:b w:val="0"/>
                <w:i w:val="0"/>
                <w:color w:val="111111"/>
                <w:sz w:val="17"/>
              </w:rPr>
              <w:t>alphaopen-development-2026</w:t>
            </w:r>
          </w:p>
        </w:tc>
        <w:tc>
          <w:tcPr>
            <w:tcW w:type="dxa" w:w="4710"/>
          </w:tcPr>
          <w:p>
            <w:pPr>
              <w:spacing w:after="0" w:line="252" w:lineRule="auto"/>
            </w:pPr>
            <w:r>
              <w:rPr>
                <w:rFonts w:ascii="Calibri" w:hAnsi="Calibri"/>
                <w:b w:val="0"/>
                <w:i w:val="0"/>
                <w:color w:val="111111"/>
                <w:sz w:val="17"/>
              </w:rPr>
              <w:t>Single project currently serves production.</w:t>
            </w:r>
          </w:p>
        </w:tc>
      </w:tr>
      <w:tr>
        <w:tc>
          <w:tcPr>
            <w:tcW w:type="dxa" w:w="1850"/>
          </w:tcPr>
          <w:p>
            <w:pPr>
              <w:spacing w:after="0" w:line="252" w:lineRule="auto"/>
            </w:pPr>
            <w:r>
              <w:rPr>
                <w:rFonts w:ascii="Calibri" w:hAnsi="Calibri"/>
                <w:b w:val="0"/>
                <w:i w:val="0"/>
                <w:color w:val="111111"/>
                <w:sz w:val="17"/>
              </w:rPr>
              <w:t>Hosting URL</w:t>
            </w:r>
          </w:p>
        </w:tc>
        <w:tc>
          <w:tcPr>
            <w:tcW w:type="dxa" w:w="2800"/>
          </w:tcPr>
          <w:p>
            <w:pPr>
              <w:spacing w:after="0" w:line="252" w:lineRule="auto"/>
            </w:pPr>
            <w:r>
              <w:rPr>
                <w:rFonts w:ascii="Calibri" w:hAnsi="Calibri"/>
                <w:b w:val="0"/>
                <w:i w:val="0"/>
                <w:color w:val="111111"/>
                <w:sz w:val="17"/>
              </w:rPr>
              <w:t>alphaopen-development-2026.web.app</w:t>
            </w:r>
          </w:p>
        </w:tc>
        <w:tc>
          <w:tcPr>
            <w:tcW w:type="dxa" w:w="4710"/>
          </w:tcPr>
          <w:p>
            <w:pPr>
              <w:spacing w:after="0" w:line="252" w:lineRule="auto"/>
            </w:pPr>
            <w:r>
              <w:rPr>
                <w:rFonts w:ascii="Calibri" w:hAnsi="Calibri"/>
                <w:b w:val="0"/>
                <w:i w:val="0"/>
                <w:color w:val="111111"/>
                <w:sz w:val="17"/>
              </w:rPr>
              <w:t>Public endpoint; all paths rewrite to index.html.</w:t>
            </w:r>
          </w:p>
        </w:tc>
      </w:tr>
      <w:tr>
        <w:tc>
          <w:tcPr>
            <w:tcW w:type="dxa" w:w="1850"/>
          </w:tcPr>
          <w:p>
            <w:pPr>
              <w:spacing w:after="0" w:line="252" w:lineRule="auto"/>
            </w:pPr>
            <w:r>
              <w:rPr>
                <w:rFonts w:ascii="Calibri" w:hAnsi="Calibri"/>
                <w:b w:val="0"/>
                <w:i w:val="0"/>
                <w:color w:val="111111"/>
                <w:sz w:val="17"/>
              </w:rPr>
              <w:t>Firestore</w:t>
            </w:r>
          </w:p>
        </w:tc>
        <w:tc>
          <w:tcPr>
            <w:tcW w:type="dxa" w:w="2800"/>
          </w:tcPr>
          <w:p>
            <w:pPr>
              <w:spacing w:after="0" w:line="252" w:lineRule="auto"/>
            </w:pPr>
            <w:r>
              <w:rPr>
                <w:rFonts w:ascii="Calibri" w:hAnsi="Calibri"/>
                <w:b w:val="0"/>
                <w:i w:val="0"/>
                <w:color w:val="111111"/>
                <w:sz w:val="17"/>
              </w:rPr>
              <w:t>(default), nam5</w:t>
            </w:r>
          </w:p>
        </w:tc>
        <w:tc>
          <w:tcPr>
            <w:tcW w:type="dxa" w:w="4710"/>
          </w:tcPr>
          <w:p>
            <w:pPr>
              <w:spacing w:after="0" w:line="252" w:lineRule="auto"/>
            </w:pPr>
            <w:r>
              <w:rPr>
                <w:rFonts w:ascii="Calibri" w:hAnsi="Calibri"/>
                <w:b w:val="0"/>
                <w:i w:val="0"/>
                <w:color w:val="111111"/>
                <w:sz w:val="17"/>
              </w:rPr>
              <w:t>Operational, private, and public documents.</w:t>
            </w:r>
          </w:p>
        </w:tc>
      </w:tr>
      <w:tr>
        <w:tc>
          <w:tcPr>
            <w:tcW w:type="dxa" w:w="1850"/>
          </w:tcPr>
          <w:p>
            <w:pPr>
              <w:spacing w:after="0" w:line="252" w:lineRule="auto"/>
            </w:pPr>
            <w:r>
              <w:rPr>
                <w:rFonts w:ascii="Calibri" w:hAnsi="Calibri"/>
                <w:b w:val="0"/>
                <w:i w:val="0"/>
                <w:color w:val="111111"/>
                <w:sz w:val="17"/>
              </w:rPr>
              <w:t>Functions</w:t>
            </w:r>
          </w:p>
        </w:tc>
        <w:tc>
          <w:tcPr>
            <w:tcW w:type="dxa" w:w="2800"/>
          </w:tcPr>
          <w:p>
            <w:pPr>
              <w:spacing w:after="0" w:line="252" w:lineRule="auto"/>
            </w:pPr>
            <w:r>
              <w:rPr>
                <w:rFonts w:ascii="Calibri" w:hAnsi="Calibri"/>
                <w:b w:val="0"/>
                <w:i w:val="0"/>
                <w:color w:val="111111"/>
                <w:sz w:val="17"/>
              </w:rPr>
              <w:t>Not configured for deployment</w:t>
            </w:r>
          </w:p>
        </w:tc>
        <w:tc>
          <w:tcPr>
            <w:tcW w:type="dxa" w:w="4710"/>
          </w:tcPr>
          <w:p>
            <w:pPr>
              <w:spacing w:after="0" w:line="252" w:lineRule="auto"/>
            </w:pPr>
            <w:r>
              <w:rPr>
                <w:rFonts w:ascii="Calibri" w:hAnsi="Calibri"/>
                <w:b w:val="0"/>
                <w:i w:val="0"/>
                <w:color w:val="111111"/>
                <w:sz w:val="17"/>
              </w:rPr>
              <w:t>Functions source is retained for future migration but excluded from Spark deployment.</w:t>
            </w:r>
          </w:p>
        </w:tc>
      </w:tr>
      <w:tr>
        <w:tc>
          <w:tcPr>
            <w:tcW w:type="dxa" w:w="1850"/>
          </w:tcPr>
          <w:p>
            <w:pPr>
              <w:spacing w:after="0" w:line="252" w:lineRule="auto"/>
            </w:pPr>
            <w:r>
              <w:rPr>
                <w:rFonts w:ascii="Calibri" w:hAnsi="Calibri"/>
                <w:b w:val="0"/>
                <w:i w:val="0"/>
                <w:color w:val="111111"/>
                <w:sz w:val="17"/>
              </w:rPr>
              <w:t>Headers</w:t>
            </w:r>
          </w:p>
        </w:tc>
        <w:tc>
          <w:tcPr>
            <w:tcW w:type="dxa" w:w="2800"/>
          </w:tcPr>
          <w:p>
            <w:pPr>
              <w:spacing w:after="0" w:line="252" w:lineRule="auto"/>
            </w:pPr>
            <w:r>
              <w:rPr>
                <w:rFonts w:ascii="Calibri" w:hAnsi="Calibri"/>
                <w:b w:val="0"/>
                <w:i w:val="0"/>
                <w:color w:val="111111"/>
                <w:sz w:val="17"/>
              </w:rPr>
              <w:t>No-cache for HTML, JS, CSS, manifest</w:t>
            </w:r>
          </w:p>
        </w:tc>
        <w:tc>
          <w:tcPr>
            <w:tcW w:type="dxa" w:w="4710"/>
          </w:tcPr>
          <w:p>
            <w:pPr>
              <w:spacing w:after="0" w:line="252" w:lineRule="auto"/>
            </w:pPr>
            <w:r>
              <w:rPr>
                <w:rFonts w:ascii="Calibri" w:hAnsi="Calibri"/>
                <w:b w:val="0"/>
                <w:i w:val="0"/>
                <w:color w:val="111111"/>
                <w:sz w:val="17"/>
              </w:rPr>
              <w:t>Reduces stale-code risk; service worker provides controlled cache fallback.</w:t>
            </w:r>
          </w:p>
        </w:tc>
      </w:tr>
      <w:tr>
        <w:tc>
          <w:tcPr>
            <w:tcW w:type="dxa" w:w="1850"/>
          </w:tcPr>
          <w:p>
            <w:pPr>
              <w:spacing w:after="0" w:line="252" w:lineRule="auto"/>
            </w:pPr>
            <w:r>
              <w:rPr>
                <w:rFonts w:ascii="Calibri" w:hAnsi="Calibri"/>
                <w:b w:val="0"/>
                <w:i w:val="0"/>
                <w:color w:val="111111"/>
                <w:sz w:val="17"/>
              </w:rPr>
              <w:t>Emulators</w:t>
            </w:r>
          </w:p>
        </w:tc>
        <w:tc>
          <w:tcPr>
            <w:tcW w:type="dxa" w:w="2800"/>
          </w:tcPr>
          <w:p>
            <w:pPr>
              <w:spacing w:after="0" w:line="252" w:lineRule="auto"/>
            </w:pPr>
            <w:r>
              <w:rPr>
                <w:rFonts w:ascii="Calibri" w:hAnsi="Calibri"/>
                <w:b w:val="0"/>
                <w:i w:val="0"/>
                <w:color w:val="111111"/>
                <w:sz w:val="17"/>
              </w:rPr>
              <w:t>Auth 9099, Firestore 8080, Hosting 5000</w:t>
            </w:r>
          </w:p>
        </w:tc>
        <w:tc>
          <w:tcPr>
            <w:tcW w:type="dxa" w:w="4710"/>
          </w:tcPr>
          <w:p>
            <w:pPr>
              <w:spacing w:after="0" w:line="252" w:lineRule="auto"/>
            </w:pPr>
            <w:r>
              <w:rPr>
                <w:rFonts w:ascii="Calibri" w:hAnsi="Calibri"/>
                <w:b w:val="0"/>
                <w:i w:val="0"/>
                <w:color w:val="111111"/>
                <w:sz w:val="17"/>
              </w:rPr>
              <w:t>Local validation and security-rule testing.</w:t>
            </w:r>
          </w:p>
        </w:tc>
      </w:tr>
    </w:tbl>
    <w:p>
      <w:pPr>
        <w:spacing w:after="40"/>
      </w:pPr>
    </w:p>
    <w:p>
      <w:pPr>
        <w:pStyle w:val="Heading2"/>
        <w:keepNext/>
      </w:pPr>
      <w:r>
        <w:t>5.1 Environment and release management</w:t>
      </w:r>
    </w:p>
    <w:p>
      <w:pPr/>
      <w:r>
        <w:rPr>
          <w:rFonts w:ascii="Calibri" w:hAnsi="Calibri"/>
          <w:b w:val="0"/>
          <w:i w:val="0"/>
          <w:color w:val="111111"/>
          <w:sz w:val="22"/>
        </w:rPr>
        <w:t>The repository currently targets one Firebase project and contains the Firebase client configuration directly in browser code, which is normal for Firebase clients. Production deployment is performed with the Firebase CLI for Hosting and Firestore Rules. There is no separate staging project, automated promotion workflow, or infrastructure-as-code pipeline.</w:t>
      </w:r>
    </w:p>
    <w:tbl>
      <w:tblPr>
        <w:tblW w:type="dxa" w:w="9360"/>
        <w:jc w:val="left"/>
        <w:tblLayout w:type="fixed"/>
        <w:tblLook w:firstColumn="1" w:firstRow="1" w:lastColumn="0" w:lastRow="0" w:noHBand="0" w:noVBand="1" w:val="04A0"/>
        <w:tblInd w:w="120" w:type="dxa"/>
        <w:tblBorders>
          <w:top w:val="single" w:sz="4" w:space="0" w:color="FFF5D6"/>
          <w:left w:val="single" w:sz="4" w:space="0" w:color="FFF5D6"/>
          <w:bottom w:val="single" w:sz="4" w:space="0" w:color="FFF5D6"/>
          <w:right w:val="single" w:sz="4" w:space="0" w:color="FFF5D6"/>
          <w:insideH w:val="single" w:sz="4" w:space="0" w:color="FFF5D6"/>
          <w:insideV w:val="single" w:sz="4" w:space="0" w:color="FFF5D6"/>
        </w:tblBorders>
      </w:tblPr>
      <w:tblGrid>
        <w:gridCol w:w="9360"/>
      </w:tblGrid>
      <w:tr>
        <w:tc>
          <w:tcPr>
            <w:tcW w:type="dxa" w:w="9360"/>
            <w:tcMar>
              <w:top w:w="80" w:type="dxa"/>
              <w:start w:w="120" w:type="dxa"/>
              <w:bottom w:w="80" w:type="dxa"/>
              <w:end w:w="120" w:type="dxa"/>
            </w:tcMar>
            <w:vAlign w:val="center"/>
            <w:shd w:fill="FFF5D6"/>
          </w:tcPr>
          <w:p>
            <w:pPr>
              <w:spacing w:after="0"/>
            </w:pPr>
            <w:r>
              <w:rPr>
                <w:rFonts w:ascii="Calibri" w:hAnsi="Calibri"/>
                <w:b/>
                <w:i w:val="0"/>
                <w:color w:val="7A5A00"/>
                <w:sz w:val="22"/>
              </w:rPr>
              <w:t xml:space="preserve">Condition of approval: </w:t>
            </w:r>
            <w:r>
              <w:rPr>
                <w:rFonts w:ascii="Calibri" w:hAnsi="Calibri"/>
                <w:b w:val="0"/>
                <w:i w:val="0"/>
                <w:color w:val="111111"/>
                <w:sz w:val="22"/>
              </w:rPr>
              <w:t>Create separate development/test and production Firebase projects, automate rule tests in CI, and require reviewed deployment promotion before operational scale increases.</w:t>
            </w:r>
          </w:p>
        </w:tc>
      </w:tr>
    </w:tbl>
    <w:p>
      <w:pPr>
        <w:spacing w:after="40"/>
      </w:pPr>
    </w:p>
    <w:p>
      <w:pPr>
        <w:pStyle w:val="Heading1"/>
        <w:keepNext/>
      </w:pPr>
      <w:r>
        <w:t>6. Identity, authorization, and security architecture</w:t>
      </w:r>
    </w:p>
    <w:p>
      <w:pPr>
        <w:pStyle w:val="Heading2"/>
        <w:keepNext/>
      </w:pPr>
      <w:r>
        <w:t>6.1 Authentication and registration</w:t>
      </w:r>
    </w:p>
    <w:p>
      <w:pPr>
        <w:pStyle w:val="ListNumber"/>
        <w:numPr>
          <w:ilvl w:val="0"/>
          <w:numId w:val="10"/>
        </w:numPr>
      </w:pPr>
      <w:r>
        <w:rPr>
          <w:rFonts w:ascii="Calibri" w:hAnsi="Calibri"/>
          <w:b w:val="0"/>
          <w:i w:val="0"/>
          <w:color w:val="111111"/>
          <w:sz w:val="22"/>
        </w:rPr>
        <w:t>User signs in with Google through Firebase Authentication.</w:t>
      </w:r>
    </w:p>
    <w:p>
      <w:pPr>
        <w:pStyle w:val="ListNumber"/>
        <w:numPr>
          <w:ilvl w:val="0"/>
          <w:numId w:val="10"/>
        </w:numPr>
      </w:pPr>
      <w:r>
        <w:rPr>
          <w:rFonts w:ascii="Calibri" w:hAnsi="Calibri"/>
          <w:b w:val="0"/>
          <w:i w:val="0"/>
          <w:color w:val="111111"/>
          <w:sz w:val="22"/>
        </w:rPr>
        <w:t>The application requires a verified Google email.</w:t>
      </w:r>
    </w:p>
    <w:p>
      <w:pPr>
        <w:pStyle w:val="ListNumber"/>
        <w:numPr>
          <w:ilvl w:val="0"/>
          <w:numId w:val="10"/>
        </w:numPr>
      </w:pPr>
      <w:r>
        <w:rPr>
          <w:rFonts w:ascii="Calibri" w:hAnsi="Calibri"/>
          <w:b w:val="0"/>
          <w:i w:val="0"/>
          <w:color w:val="111111"/>
          <w:sz w:val="22"/>
        </w:rPr>
        <w:t>The normalized email must match an active Player Master email index.</w:t>
      </w:r>
    </w:p>
    <w:p>
      <w:pPr>
        <w:pStyle w:val="ListNumber"/>
        <w:numPr>
          <w:ilvl w:val="0"/>
          <w:numId w:val="10"/>
        </w:numPr>
      </w:pPr>
      <w:r>
        <w:rPr>
          <w:rFonts w:ascii="Calibri" w:hAnsi="Calibri"/>
          <w:b w:val="0"/>
          <w:i w:val="0"/>
          <w:color w:val="111111"/>
          <w:sz w:val="22"/>
        </w:rPr>
        <w:t>A new user record is created as pending and linked to the canonical Player ID.</w:t>
      </w:r>
    </w:p>
    <w:p>
      <w:pPr>
        <w:pStyle w:val="ListNumber"/>
        <w:numPr>
          <w:ilvl w:val="0"/>
          <w:numId w:val="10"/>
        </w:numPr>
      </w:pPr>
      <w:r>
        <w:rPr>
          <w:rFonts w:ascii="Calibri" w:hAnsi="Calibri"/>
          <w:b w:val="0"/>
          <w:i w:val="0"/>
          <w:color w:val="111111"/>
          <w:sz w:val="22"/>
        </w:rPr>
        <w:t>Super Admin approves the registration and assigns active season membership and roles.</w:t>
      </w:r>
    </w:p>
    <w:p>
      <w:pPr>
        <w:pStyle w:val="ListNumber"/>
        <w:numPr>
          <w:ilvl w:val="0"/>
          <w:numId w:val="10"/>
        </w:numPr>
      </w:pPr>
      <w:r>
        <w:rPr>
          <w:rFonts w:ascii="Calibri" w:hAnsi="Calibri"/>
          <w:b w:val="0"/>
          <w:i w:val="0"/>
          <w:color w:val="111111"/>
          <w:sz w:val="22"/>
        </w:rPr>
        <w:t>The application derives route access from global roles plus current-season member roles.</w:t>
      </w:r>
    </w:p>
    <w:p>
      <w:pPr>
        <w:pStyle w:val="Heading2"/>
        <w:keepNext/>
      </w:pPr>
      <w:r>
        <w:t>6.2 Authorization layers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800"/>
        <w:gridCol w:w="3900"/>
        <w:gridCol w:w="3660"/>
      </w:tblGrid>
      <w:tr>
        <w:trPr>
          <w:tblHeader w:val="true"/>
        </w:trPr>
        <w:tc>
          <w:tcPr>
            <w:tcW w:type="dxa" w:w="18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Layer</w:t>
            </w:r>
          </w:p>
        </w:tc>
        <w:tc>
          <w:tcPr>
            <w:tcW w:type="dxa" w:w="39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Mechanism</w:t>
            </w:r>
          </w:p>
        </w:tc>
        <w:tc>
          <w:tcPr>
            <w:tcW w:type="dxa" w:w="36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Security role</w:t>
            </w:r>
          </w:p>
        </w:tc>
      </w:tr>
      <w:tr>
        <w:tc>
          <w:tcPr>
            <w:tcW w:type="dxa" w:w="1800"/>
          </w:tcPr>
          <w:p>
            <w:pPr>
              <w:spacing w:after="0" w:line="252" w:lineRule="auto"/>
            </w:pPr>
            <w:r>
              <w:rPr>
                <w:rFonts w:ascii="Calibri" w:hAnsi="Calibri"/>
                <w:b w:val="0"/>
                <w:i w:val="0"/>
                <w:color w:val="111111"/>
                <w:sz w:val="17"/>
              </w:rPr>
              <w:t>Navigation visibility</w:t>
            </w:r>
          </w:p>
        </w:tc>
        <w:tc>
          <w:tcPr>
            <w:tcW w:type="dxa" w:w="3900"/>
          </w:tcPr>
          <w:p>
            <w:pPr>
              <w:spacing w:after="0" w:line="252" w:lineRule="auto"/>
            </w:pPr>
            <w:r>
              <w:rPr>
                <w:rFonts w:ascii="Calibri" w:hAnsi="Calibri"/>
                <w:b w:val="0"/>
                <w:i w:val="0"/>
                <w:color w:val="111111"/>
                <w:sz w:val="17"/>
              </w:rPr>
              <w:t>data-access, data-access-any, data-nav-roles, data-super-admin</w:t>
            </w:r>
          </w:p>
        </w:tc>
        <w:tc>
          <w:tcPr>
            <w:tcW w:type="dxa" w:w="3660"/>
          </w:tcPr>
          <w:p>
            <w:pPr>
              <w:spacing w:after="0" w:line="252" w:lineRule="auto"/>
            </w:pPr>
            <w:r>
              <w:rPr>
                <w:rFonts w:ascii="Calibri" w:hAnsi="Calibri"/>
                <w:b w:val="0"/>
                <w:i w:val="0"/>
                <w:color w:val="111111"/>
                <w:sz w:val="17"/>
              </w:rPr>
              <w:t>User experience only; not a security boundary.</w:t>
            </w:r>
          </w:p>
        </w:tc>
      </w:tr>
      <w:tr>
        <w:tc>
          <w:tcPr>
            <w:tcW w:type="dxa" w:w="1800"/>
          </w:tcPr>
          <w:p>
            <w:pPr>
              <w:spacing w:after="0" w:line="252" w:lineRule="auto"/>
            </w:pPr>
            <w:r>
              <w:rPr>
                <w:rFonts w:ascii="Calibri" w:hAnsi="Calibri"/>
                <w:b w:val="0"/>
                <w:i w:val="0"/>
                <w:color w:val="111111"/>
                <w:sz w:val="17"/>
              </w:rPr>
              <w:t>Client guard clauses</w:t>
            </w:r>
          </w:p>
        </w:tc>
        <w:tc>
          <w:tcPr>
            <w:tcW w:type="dxa" w:w="3900"/>
          </w:tcPr>
          <w:p>
            <w:pPr>
              <w:spacing w:after="0" w:line="252" w:lineRule="auto"/>
            </w:pPr>
            <w:r>
              <w:rPr>
                <w:rFonts w:ascii="Calibri" w:hAnsi="Calibri"/>
                <w:b w:val="0"/>
                <w:i w:val="0"/>
                <w:color w:val="111111"/>
                <w:sz w:val="17"/>
              </w:rPr>
              <w:t>Feature modules validate authorization context and team scope</w:t>
            </w:r>
          </w:p>
        </w:tc>
        <w:tc>
          <w:tcPr>
            <w:tcW w:type="dxa" w:w="3660"/>
          </w:tcPr>
          <w:p>
            <w:pPr>
              <w:spacing w:after="0" w:line="252" w:lineRule="auto"/>
            </w:pPr>
            <w:r>
              <w:rPr>
                <w:rFonts w:ascii="Calibri" w:hAnsi="Calibri"/>
                <w:b w:val="0"/>
                <w:i w:val="0"/>
                <w:color w:val="111111"/>
                <w:sz w:val="17"/>
              </w:rPr>
              <w:t>Prevents accidental actions and provides clear errors.</w:t>
            </w:r>
          </w:p>
        </w:tc>
      </w:tr>
      <w:tr>
        <w:tc>
          <w:tcPr>
            <w:tcW w:type="dxa" w:w="1800"/>
          </w:tcPr>
          <w:p>
            <w:pPr>
              <w:spacing w:after="0" w:line="252" w:lineRule="auto"/>
            </w:pPr>
            <w:r>
              <w:rPr>
                <w:rFonts w:ascii="Calibri" w:hAnsi="Calibri"/>
                <w:b w:val="0"/>
                <w:i w:val="0"/>
                <w:color w:val="111111"/>
                <w:sz w:val="17"/>
              </w:rPr>
              <w:t>Firestore Rules</w:t>
            </w:r>
          </w:p>
        </w:tc>
        <w:tc>
          <w:tcPr>
            <w:tcW w:type="dxa" w:w="3900"/>
          </w:tcPr>
          <w:p>
            <w:pPr>
              <w:spacing w:after="0" w:line="252" w:lineRule="auto"/>
            </w:pPr>
            <w:r>
              <w:rPr>
                <w:rFonts w:ascii="Calibri" w:hAnsi="Calibri"/>
                <w:b w:val="0"/>
                <w:i w:val="0"/>
                <w:color w:val="111111"/>
                <w:sz w:val="17"/>
              </w:rPr>
              <w:t>Identity, active status, season role, team scope, allowed fields, and transition checks</w:t>
            </w:r>
          </w:p>
        </w:tc>
        <w:tc>
          <w:tcPr>
            <w:tcW w:type="dxa" w:w="3660"/>
          </w:tcPr>
          <w:p>
            <w:pPr>
              <w:spacing w:after="0" w:line="252" w:lineRule="auto"/>
            </w:pPr>
            <w:r>
              <w:rPr>
                <w:rFonts w:ascii="Calibri" w:hAnsi="Calibri"/>
                <w:b w:val="0"/>
                <w:i w:val="0"/>
                <w:color w:val="111111"/>
                <w:sz w:val="17"/>
              </w:rPr>
              <w:t>Primary security boundary.</w:t>
            </w:r>
          </w:p>
        </w:tc>
      </w:tr>
      <w:tr>
        <w:tc>
          <w:tcPr>
            <w:tcW w:type="dxa" w:w="1800"/>
          </w:tcPr>
          <w:p>
            <w:pPr>
              <w:spacing w:after="0" w:line="252" w:lineRule="auto"/>
            </w:pPr>
            <w:r>
              <w:rPr>
                <w:rFonts w:ascii="Calibri" w:hAnsi="Calibri"/>
                <w:b w:val="0"/>
                <w:i w:val="0"/>
                <w:color w:val="111111"/>
                <w:sz w:val="17"/>
              </w:rPr>
              <w:t>Transaction invariants</w:t>
            </w:r>
          </w:p>
        </w:tc>
        <w:tc>
          <w:tcPr>
            <w:tcW w:type="dxa" w:w="3900"/>
          </w:tcPr>
          <w:p>
            <w:pPr>
              <w:spacing w:after="0" w:line="252" w:lineRule="auto"/>
            </w:pPr>
            <w:r>
              <w:rPr>
                <w:rFonts w:ascii="Calibri" w:hAnsi="Calibri"/>
                <w:b w:val="0"/>
                <w:i w:val="0"/>
                <w:color w:val="111111"/>
                <w:sz w:val="17"/>
              </w:rPr>
              <w:t>Current revision, current status, operation ID, actor UID, and multi-document state</w:t>
            </w:r>
          </w:p>
        </w:tc>
        <w:tc>
          <w:tcPr>
            <w:tcW w:type="dxa" w:w="3660"/>
          </w:tcPr>
          <w:p>
            <w:pPr>
              <w:spacing w:after="0" w:line="252" w:lineRule="auto"/>
            </w:pPr>
            <w:r>
              <w:rPr>
                <w:rFonts w:ascii="Calibri" w:hAnsi="Calibri"/>
                <w:b w:val="0"/>
                <w:i w:val="0"/>
                <w:color w:val="111111"/>
                <w:sz w:val="17"/>
              </w:rPr>
              <w:t>Concurrency and workflow integrity.</w:t>
            </w:r>
          </w:p>
        </w:tc>
      </w:tr>
      <w:tr>
        <w:tc>
          <w:tcPr>
            <w:tcW w:type="dxa" w:w="1800"/>
          </w:tcPr>
          <w:p>
            <w:pPr>
              <w:spacing w:after="0" w:line="252" w:lineRule="auto"/>
            </w:pPr>
            <w:r>
              <w:rPr>
                <w:rFonts w:ascii="Calibri" w:hAnsi="Calibri"/>
                <w:b w:val="0"/>
                <w:i w:val="0"/>
                <w:color w:val="111111"/>
                <w:sz w:val="17"/>
              </w:rPr>
              <w:t>Immutable records</w:t>
            </w:r>
          </w:p>
        </w:tc>
        <w:tc>
          <w:tcPr>
            <w:tcW w:type="dxa" w:w="3900"/>
          </w:tcPr>
          <w:p>
            <w:pPr>
              <w:spacing w:after="0" w:line="252" w:lineRule="auto"/>
            </w:pPr>
            <w:r>
              <w:rPr>
                <w:rFonts w:ascii="Calibri" w:hAnsi="Calibri"/>
                <w:b w:val="0"/>
                <w:i w:val="0"/>
                <w:color w:val="111111"/>
                <w:sz w:val="17"/>
              </w:rPr>
              <w:t>Revision and review documents are create-only</w:t>
            </w:r>
          </w:p>
        </w:tc>
        <w:tc>
          <w:tcPr>
            <w:tcW w:type="dxa" w:w="3660"/>
          </w:tcPr>
          <w:p>
            <w:pPr>
              <w:spacing w:after="0" w:line="252" w:lineRule="auto"/>
            </w:pPr>
            <w:r>
              <w:rPr>
                <w:rFonts w:ascii="Calibri" w:hAnsi="Calibri"/>
                <w:b w:val="0"/>
                <w:i w:val="0"/>
                <w:color w:val="111111"/>
                <w:sz w:val="17"/>
              </w:rPr>
              <w:t>Nonrepudiation and audit preservation.</w:t>
            </w:r>
          </w:p>
        </w:tc>
      </w:tr>
    </w:tbl>
    <w:p>
      <w:pPr>
        <w:spacing w:after="40"/>
      </w:pPr>
    </w:p>
    <w:p>
      <w:pPr>
        <w:pStyle w:val="Heading2"/>
        <w:keepNext/>
      </w:pPr>
      <w:r>
        <w:t>6.3 Role access matrix</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900"/>
        <w:gridCol w:w="900"/>
        <w:gridCol w:w="1000"/>
        <w:gridCol w:w="1150"/>
        <w:gridCol w:w="1050"/>
        <w:gridCol w:w="1300"/>
        <w:gridCol w:w="2060"/>
      </w:tblGrid>
      <w:tr>
        <w:trPr>
          <w:tblHeader w:val="true"/>
        </w:trPr>
        <w:tc>
          <w:tcPr>
            <w:tcW w:type="dxa" w:w="19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Capability</w:t>
            </w:r>
          </w:p>
        </w:tc>
        <w:tc>
          <w:tcPr>
            <w:tcW w:type="dxa" w:w="9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Guest</w:t>
            </w:r>
          </w:p>
        </w:tc>
        <w:tc>
          <w:tcPr>
            <w:tcW w:type="dxa" w:w="10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Player</w:t>
            </w:r>
          </w:p>
        </w:tc>
        <w:tc>
          <w:tcPr>
            <w:tcW w:type="dxa" w:w="115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Captain</w:t>
            </w:r>
          </w:p>
        </w:tc>
        <w:tc>
          <w:tcPr>
            <w:tcW w:type="dxa" w:w="105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EC</w:t>
            </w:r>
          </w:p>
        </w:tc>
        <w:tc>
          <w:tcPr>
            <w:tcW w:type="dxa" w:w="13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Approver</w:t>
            </w:r>
          </w:p>
        </w:tc>
        <w:tc>
          <w:tcPr>
            <w:tcW w:type="dxa" w:w="206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Super Admin</w:t>
            </w:r>
          </w:p>
        </w:tc>
      </w:tr>
      <w:tr>
        <w:tc>
          <w:tcPr>
            <w:tcW w:type="dxa" w:w="1900"/>
          </w:tcPr>
          <w:p>
            <w:pPr>
              <w:spacing w:after="0" w:line="252" w:lineRule="auto"/>
            </w:pPr>
            <w:r>
              <w:rPr>
                <w:rFonts w:ascii="Calibri" w:hAnsi="Calibri"/>
                <w:b w:val="0"/>
                <w:i w:val="0"/>
                <w:color w:val="111111"/>
                <w:sz w:val="15"/>
              </w:rPr>
              <w:t>Public content</w:t>
            </w:r>
          </w:p>
        </w:tc>
        <w:tc>
          <w:tcPr>
            <w:tcW w:type="dxa" w:w="900"/>
          </w:tcPr>
          <w:p>
            <w:pPr>
              <w:spacing w:after="0" w:line="252" w:lineRule="auto"/>
            </w:pPr>
            <w:r>
              <w:rPr>
                <w:rFonts w:ascii="Calibri" w:hAnsi="Calibri"/>
                <w:b w:val="0"/>
                <w:i w:val="0"/>
                <w:color w:val="111111"/>
                <w:sz w:val="15"/>
              </w:rPr>
              <w:t>Read</w:t>
            </w:r>
          </w:p>
        </w:tc>
        <w:tc>
          <w:tcPr>
            <w:tcW w:type="dxa" w:w="1000"/>
          </w:tcPr>
          <w:p>
            <w:pPr>
              <w:spacing w:after="0" w:line="252" w:lineRule="auto"/>
            </w:pPr>
            <w:r>
              <w:rPr>
                <w:rFonts w:ascii="Calibri" w:hAnsi="Calibri"/>
                <w:b w:val="0"/>
                <w:i w:val="0"/>
                <w:color w:val="111111"/>
                <w:sz w:val="15"/>
              </w:rPr>
              <w:t>Read</w:t>
            </w:r>
          </w:p>
        </w:tc>
        <w:tc>
          <w:tcPr>
            <w:tcW w:type="dxa" w:w="1150"/>
          </w:tcPr>
          <w:p>
            <w:pPr>
              <w:spacing w:after="0" w:line="252" w:lineRule="auto"/>
            </w:pPr>
            <w:r>
              <w:rPr>
                <w:rFonts w:ascii="Calibri" w:hAnsi="Calibri"/>
                <w:b w:val="0"/>
                <w:i w:val="0"/>
                <w:color w:val="111111"/>
                <w:sz w:val="15"/>
              </w:rPr>
              <w:t>Read</w:t>
            </w:r>
          </w:p>
        </w:tc>
        <w:tc>
          <w:tcPr>
            <w:tcW w:type="dxa" w:w="1050"/>
          </w:tcPr>
          <w:p>
            <w:pPr>
              <w:spacing w:after="0" w:line="252" w:lineRule="auto"/>
            </w:pPr>
            <w:r>
              <w:rPr>
                <w:rFonts w:ascii="Calibri" w:hAnsi="Calibri"/>
                <w:b w:val="0"/>
                <w:i w:val="0"/>
                <w:color w:val="111111"/>
                <w:sz w:val="15"/>
              </w:rPr>
              <w:t>Read</w:t>
            </w:r>
          </w:p>
        </w:tc>
        <w:tc>
          <w:tcPr>
            <w:tcW w:type="dxa" w:w="1300"/>
          </w:tcPr>
          <w:p>
            <w:pPr>
              <w:spacing w:after="0" w:line="252" w:lineRule="auto"/>
            </w:pPr>
            <w:r>
              <w:rPr>
                <w:rFonts w:ascii="Calibri" w:hAnsi="Calibri"/>
                <w:b w:val="0"/>
                <w:i w:val="0"/>
                <w:color w:val="111111"/>
                <w:sz w:val="15"/>
              </w:rPr>
              <w:t>Read</w:t>
            </w:r>
          </w:p>
        </w:tc>
        <w:tc>
          <w:tcPr>
            <w:tcW w:type="dxa" w:w="2060"/>
          </w:tcPr>
          <w:p>
            <w:pPr>
              <w:spacing w:after="0" w:line="252" w:lineRule="auto"/>
            </w:pPr>
            <w:r>
              <w:rPr>
                <w:rFonts w:ascii="Calibri" w:hAnsi="Calibri"/>
                <w:b w:val="0"/>
                <w:i w:val="0"/>
                <w:color w:val="111111"/>
                <w:sz w:val="15"/>
              </w:rPr>
              <w:t>Read/write</w:t>
            </w:r>
          </w:p>
        </w:tc>
      </w:tr>
      <w:tr>
        <w:tc>
          <w:tcPr>
            <w:tcW w:type="dxa" w:w="1900"/>
          </w:tcPr>
          <w:p>
            <w:pPr>
              <w:spacing w:after="0" w:line="252" w:lineRule="auto"/>
            </w:pPr>
            <w:r>
              <w:rPr>
                <w:rFonts w:ascii="Calibri" w:hAnsi="Calibri"/>
                <w:b w:val="0"/>
                <w:i w:val="0"/>
                <w:color w:val="111111"/>
                <w:sz w:val="15"/>
              </w:rPr>
              <w:t>Own player/account data</w:t>
            </w:r>
          </w:p>
        </w:tc>
        <w:tc>
          <w:tcPr>
            <w:tcW w:type="dxa" w:w="900"/>
          </w:tcPr>
          <w:p>
            <w:pPr>
              <w:spacing w:after="0" w:line="252" w:lineRule="auto"/>
            </w:pPr>
            <w:r>
              <w:rPr>
                <w:rFonts w:ascii="Calibri" w:hAnsi="Calibri"/>
                <w:b w:val="0"/>
                <w:i w:val="0"/>
                <w:color w:val="111111"/>
                <w:sz w:val="15"/>
              </w:rPr>
              <w:t>-</w:t>
            </w:r>
          </w:p>
        </w:tc>
        <w:tc>
          <w:tcPr>
            <w:tcW w:type="dxa" w:w="1000"/>
          </w:tcPr>
          <w:p>
            <w:pPr>
              <w:spacing w:after="0" w:line="252" w:lineRule="auto"/>
            </w:pPr>
            <w:r>
              <w:rPr>
                <w:rFonts w:ascii="Calibri" w:hAnsi="Calibri"/>
                <w:b w:val="0"/>
                <w:i w:val="0"/>
                <w:color w:val="111111"/>
                <w:sz w:val="15"/>
              </w:rPr>
              <w:t>Read/update limited</w:t>
            </w:r>
          </w:p>
        </w:tc>
        <w:tc>
          <w:tcPr>
            <w:tcW w:type="dxa" w:w="1150"/>
          </w:tcPr>
          <w:p>
            <w:pPr>
              <w:spacing w:after="0" w:line="252" w:lineRule="auto"/>
            </w:pPr>
            <w:r>
              <w:rPr>
                <w:rFonts w:ascii="Calibri" w:hAnsi="Calibri"/>
                <w:b w:val="0"/>
                <w:i w:val="0"/>
                <w:color w:val="111111"/>
                <w:sz w:val="15"/>
              </w:rPr>
              <w:t>Read/update limited</w:t>
            </w:r>
          </w:p>
        </w:tc>
        <w:tc>
          <w:tcPr>
            <w:tcW w:type="dxa" w:w="1050"/>
          </w:tcPr>
          <w:p>
            <w:pPr>
              <w:spacing w:after="0" w:line="252" w:lineRule="auto"/>
            </w:pPr>
            <w:r>
              <w:rPr>
                <w:rFonts w:ascii="Calibri" w:hAnsi="Calibri"/>
                <w:b w:val="0"/>
                <w:i w:val="0"/>
                <w:color w:val="111111"/>
                <w:sz w:val="15"/>
              </w:rPr>
              <w:t>Read</w:t>
            </w:r>
          </w:p>
        </w:tc>
        <w:tc>
          <w:tcPr>
            <w:tcW w:type="dxa" w:w="1300"/>
          </w:tcPr>
          <w:p>
            <w:pPr>
              <w:spacing w:after="0" w:line="252" w:lineRule="auto"/>
            </w:pPr>
            <w:r>
              <w:rPr>
                <w:rFonts w:ascii="Calibri" w:hAnsi="Calibri"/>
                <w:b w:val="0"/>
                <w:i w:val="0"/>
                <w:color w:val="111111"/>
                <w:sz w:val="15"/>
              </w:rPr>
              <w:t>Read</w:t>
            </w:r>
          </w:p>
        </w:tc>
        <w:tc>
          <w:tcPr>
            <w:tcW w:type="dxa" w:w="2060"/>
          </w:tcPr>
          <w:p>
            <w:pPr>
              <w:spacing w:after="0" w:line="252" w:lineRule="auto"/>
            </w:pPr>
            <w:r>
              <w:rPr>
                <w:rFonts w:ascii="Calibri" w:hAnsi="Calibri"/>
                <w:b w:val="0"/>
                <w:i w:val="0"/>
                <w:color w:val="111111"/>
                <w:sz w:val="15"/>
              </w:rPr>
              <w:t>All</w:t>
            </w:r>
          </w:p>
        </w:tc>
      </w:tr>
      <w:tr>
        <w:tc>
          <w:tcPr>
            <w:tcW w:type="dxa" w:w="1900"/>
          </w:tcPr>
          <w:p>
            <w:pPr>
              <w:spacing w:after="0" w:line="252" w:lineRule="auto"/>
            </w:pPr>
            <w:r>
              <w:rPr>
                <w:rFonts w:ascii="Calibri" w:hAnsi="Calibri"/>
                <w:b w:val="0"/>
                <w:i w:val="0"/>
                <w:color w:val="111111"/>
                <w:sz w:val="15"/>
              </w:rPr>
              <w:t>Team lineup submit</w:t>
            </w:r>
          </w:p>
        </w:tc>
        <w:tc>
          <w:tcPr>
            <w:tcW w:type="dxa" w:w="900"/>
          </w:tcPr>
          <w:p>
            <w:pPr>
              <w:spacing w:after="0" w:line="252" w:lineRule="auto"/>
            </w:pPr>
            <w:r>
              <w:rPr>
                <w:rFonts w:ascii="Calibri" w:hAnsi="Calibri"/>
                <w:b w:val="0"/>
                <w:i w:val="0"/>
                <w:color w:val="111111"/>
                <w:sz w:val="15"/>
              </w:rPr>
              <w:t>-</w:t>
            </w:r>
          </w:p>
        </w:tc>
        <w:tc>
          <w:tcPr>
            <w:tcW w:type="dxa" w:w="1000"/>
          </w:tcPr>
          <w:p>
            <w:pPr>
              <w:spacing w:after="0" w:line="252" w:lineRule="auto"/>
            </w:pPr>
            <w:r>
              <w:rPr>
                <w:rFonts w:ascii="Calibri" w:hAnsi="Calibri"/>
                <w:b w:val="0"/>
                <w:i w:val="0"/>
                <w:color w:val="111111"/>
                <w:sz w:val="15"/>
              </w:rPr>
              <w:t>-</w:t>
            </w:r>
          </w:p>
        </w:tc>
        <w:tc>
          <w:tcPr>
            <w:tcW w:type="dxa" w:w="1150"/>
          </w:tcPr>
          <w:p>
            <w:pPr>
              <w:spacing w:after="0" w:line="252" w:lineRule="auto"/>
            </w:pPr>
            <w:r>
              <w:rPr>
                <w:rFonts w:ascii="Calibri" w:hAnsi="Calibri"/>
                <w:b w:val="0"/>
                <w:i w:val="0"/>
                <w:color w:val="111111"/>
                <w:sz w:val="15"/>
              </w:rPr>
              <w:t>Own team</w:t>
            </w:r>
          </w:p>
        </w:tc>
        <w:tc>
          <w:tcPr>
            <w:tcW w:type="dxa" w:w="1050"/>
          </w:tcPr>
          <w:p>
            <w:pPr>
              <w:spacing w:after="0" w:line="252" w:lineRule="auto"/>
            </w:pPr>
            <w:r>
              <w:rPr>
                <w:rFonts w:ascii="Calibri" w:hAnsi="Calibri"/>
                <w:b w:val="0"/>
                <w:i w:val="0"/>
                <w:color w:val="111111"/>
                <w:sz w:val="15"/>
              </w:rPr>
              <w:t>Authorized scope</w:t>
            </w:r>
          </w:p>
        </w:tc>
        <w:tc>
          <w:tcPr>
            <w:tcW w:type="dxa" w:w="1300"/>
          </w:tcPr>
          <w:p>
            <w:pPr>
              <w:spacing w:after="0" w:line="252" w:lineRule="auto"/>
            </w:pPr>
            <w:r>
              <w:rPr>
                <w:rFonts w:ascii="Calibri" w:hAnsi="Calibri"/>
                <w:b w:val="0"/>
                <w:i w:val="0"/>
                <w:color w:val="111111"/>
                <w:sz w:val="15"/>
              </w:rPr>
              <w:t>Either team</w:t>
            </w:r>
          </w:p>
        </w:tc>
        <w:tc>
          <w:tcPr>
            <w:tcW w:type="dxa" w:w="2060"/>
          </w:tcPr>
          <w:p>
            <w:pPr>
              <w:spacing w:after="0" w:line="252" w:lineRule="auto"/>
            </w:pPr>
            <w:r>
              <w:rPr>
                <w:rFonts w:ascii="Calibri" w:hAnsi="Calibri"/>
                <w:b w:val="0"/>
                <w:i w:val="0"/>
                <w:color w:val="111111"/>
                <w:sz w:val="15"/>
              </w:rPr>
              <w:t>Any</w:t>
            </w:r>
          </w:p>
        </w:tc>
      </w:tr>
      <w:tr>
        <w:tc>
          <w:tcPr>
            <w:tcW w:type="dxa" w:w="1900"/>
          </w:tcPr>
          <w:p>
            <w:pPr>
              <w:spacing w:after="0" w:line="252" w:lineRule="auto"/>
            </w:pPr>
            <w:r>
              <w:rPr>
                <w:rFonts w:ascii="Calibri" w:hAnsi="Calibri"/>
                <w:b w:val="0"/>
                <w:i w:val="0"/>
                <w:color w:val="111111"/>
                <w:sz w:val="15"/>
              </w:rPr>
              <w:t>Lineup approve/reject</w:t>
            </w:r>
          </w:p>
        </w:tc>
        <w:tc>
          <w:tcPr>
            <w:tcW w:type="dxa" w:w="900"/>
          </w:tcPr>
          <w:p>
            <w:pPr>
              <w:spacing w:after="0" w:line="252" w:lineRule="auto"/>
            </w:pPr>
            <w:r>
              <w:rPr>
                <w:rFonts w:ascii="Calibri" w:hAnsi="Calibri"/>
                <w:b w:val="0"/>
                <w:i w:val="0"/>
                <w:color w:val="111111"/>
                <w:sz w:val="15"/>
              </w:rPr>
              <w:t>-</w:t>
            </w:r>
          </w:p>
        </w:tc>
        <w:tc>
          <w:tcPr>
            <w:tcW w:type="dxa" w:w="1000"/>
          </w:tcPr>
          <w:p>
            <w:pPr>
              <w:spacing w:after="0" w:line="252" w:lineRule="auto"/>
            </w:pPr>
            <w:r>
              <w:rPr>
                <w:rFonts w:ascii="Calibri" w:hAnsi="Calibri"/>
                <w:b w:val="0"/>
                <w:i w:val="0"/>
                <w:color w:val="111111"/>
                <w:sz w:val="15"/>
              </w:rPr>
              <w:t>-</w:t>
            </w:r>
          </w:p>
        </w:tc>
        <w:tc>
          <w:tcPr>
            <w:tcW w:type="dxa" w:w="1150"/>
          </w:tcPr>
          <w:p>
            <w:pPr>
              <w:spacing w:after="0" w:line="252" w:lineRule="auto"/>
            </w:pPr>
            <w:r>
              <w:rPr>
                <w:rFonts w:ascii="Calibri" w:hAnsi="Calibri"/>
                <w:b w:val="0"/>
                <w:i w:val="0"/>
                <w:color w:val="111111"/>
                <w:sz w:val="15"/>
              </w:rPr>
              <w:t>-</w:t>
            </w:r>
          </w:p>
        </w:tc>
        <w:tc>
          <w:tcPr>
            <w:tcW w:type="dxa" w:w="1050"/>
          </w:tcPr>
          <w:p>
            <w:pPr>
              <w:spacing w:after="0" w:line="252" w:lineRule="auto"/>
            </w:pPr>
            <w:r>
              <w:rPr>
                <w:rFonts w:ascii="Calibri" w:hAnsi="Calibri"/>
                <w:b w:val="0"/>
                <w:i w:val="0"/>
                <w:color w:val="111111"/>
                <w:sz w:val="15"/>
              </w:rPr>
              <w:t>-</w:t>
            </w:r>
          </w:p>
        </w:tc>
        <w:tc>
          <w:tcPr>
            <w:tcW w:type="dxa" w:w="1300"/>
          </w:tcPr>
          <w:p>
            <w:pPr>
              <w:spacing w:after="0" w:line="252" w:lineRule="auto"/>
            </w:pPr>
            <w:r>
              <w:rPr>
                <w:rFonts w:ascii="Calibri" w:hAnsi="Calibri"/>
                <w:b w:val="0"/>
                <w:i w:val="0"/>
                <w:color w:val="111111"/>
                <w:sz w:val="15"/>
              </w:rPr>
              <w:t>Assigned scope</w:t>
            </w:r>
          </w:p>
        </w:tc>
        <w:tc>
          <w:tcPr>
            <w:tcW w:type="dxa" w:w="2060"/>
          </w:tcPr>
          <w:p>
            <w:pPr>
              <w:spacing w:after="0" w:line="252" w:lineRule="auto"/>
            </w:pPr>
            <w:r>
              <w:rPr>
                <w:rFonts w:ascii="Calibri" w:hAnsi="Calibri"/>
                <w:b w:val="0"/>
                <w:i w:val="0"/>
                <w:color w:val="111111"/>
                <w:sz w:val="15"/>
              </w:rPr>
              <w:t>Any</w:t>
            </w:r>
          </w:p>
        </w:tc>
      </w:tr>
      <w:tr>
        <w:tc>
          <w:tcPr>
            <w:tcW w:type="dxa" w:w="1900"/>
          </w:tcPr>
          <w:p>
            <w:pPr>
              <w:spacing w:after="0" w:line="252" w:lineRule="auto"/>
            </w:pPr>
            <w:r>
              <w:rPr>
                <w:rFonts w:ascii="Calibri" w:hAnsi="Calibri"/>
                <w:b w:val="0"/>
                <w:i w:val="0"/>
                <w:color w:val="111111"/>
                <w:sz w:val="15"/>
              </w:rPr>
              <w:t>Reset approved lineups</w:t>
            </w:r>
          </w:p>
        </w:tc>
        <w:tc>
          <w:tcPr>
            <w:tcW w:type="dxa" w:w="900"/>
          </w:tcPr>
          <w:p>
            <w:pPr>
              <w:spacing w:after="0" w:line="252" w:lineRule="auto"/>
            </w:pPr>
            <w:r>
              <w:rPr>
                <w:rFonts w:ascii="Calibri" w:hAnsi="Calibri"/>
                <w:b w:val="0"/>
                <w:i w:val="0"/>
                <w:color w:val="111111"/>
                <w:sz w:val="15"/>
              </w:rPr>
              <w:t>-</w:t>
            </w:r>
          </w:p>
        </w:tc>
        <w:tc>
          <w:tcPr>
            <w:tcW w:type="dxa" w:w="1000"/>
          </w:tcPr>
          <w:p>
            <w:pPr>
              <w:spacing w:after="0" w:line="252" w:lineRule="auto"/>
            </w:pPr>
            <w:r>
              <w:rPr>
                <w:rFonts w:ascii="Calibri" w:hAnsi="Calibri"/>
                <w:b w:val="0"/>
                <w:i w:val="0"/>
                <w:color w:val="111111"/>
                <w:sz w:val="15"/>
              </w:rPr>
              <w:t>-</w:t>
            </w:r>
          </w:p>
        </w:tc>
        <w:tc>
          <w:tcPr>
            <w:tcW w:type="dxa" w:w="1150"/>
          </w:tcPr>
          <w:p>
            <w:pPr>
              <w:spacing w:after="0" w:line="252" w:lineRule="auto"/>
            </w:pPr>
            <w:r>
              <w:rPr>
                <w:rFonts w:ascii="Calibri" w:hAnsi="Calibri"/>
                <w:b w:val="0"/>
                <w:i w:val="0"/>
                <w:color w:val="111111"/>
                <w:sz w:val="15"/>
              </w:rPr>
              <w:t>-</w:t>
            </w:r>
          </w:p>
        </w:tc>
        <w:tc>
          <w:tcPr>
            <w:tcW w:type="dxa" w:w="1050"/>
          </w:tcPr>
          <w:p>
            <w:pPr>
              <w:spacing w:after="0" w:line="252" w:lineRule="auto"/>
            </w:pPr>
            <w:r>
              <w:rPr>
                <w:rFonts w:ascii="Calibri" w:hAnsi="Calibri"/>
                <w:b w:val="0"/>
                <w:i w:val="0"/>
                <w:color w:val="111111"/>
                <w:sz w:val="15"/>
              </w:rPr>
              <w:t>-</w:t>
            </w:r>
          </w:p>
        </w:tc>
        <w:tc>
          <w:tcPr>
            <w:tcW w:type="dxa" w:w="1300"/>
          </w:tcPr>
          <w:p>
            <w:pPr>
              <w:spacing w:after="0" w:line="252" w:lineRule="auto"/>
            </w:pPr>
            <w:r>
              <w:rPr>
                <w:rFonts w:ascii="Calibri" w:hAnsi="Calibri"/>
                <w:b w:val="0"/>
                <w:i w:val="0"/>
                <w:color w:val="111111"/>
                <w:sz w:val="15"/>
              </w:rPr>
              <w:t>Assigned scope</w:t>
            </w:r>
          </w:p>
        </w:tc>
        <w:tc>
          <w:tcPr>
            <w:tcW w:type="dxa" w:w="2060"/>
          </w:tcPr>
          <w:p>
            <w:pPr>
              <w:spacing w:after="0" w:line="252" w:lineRule="auto"/>
            </w:pPr>
            <w:r>
              <w:rPr>
                <w:rFonts w:ascii="Calibri" w:hAnsi="Calibri"/>
                <w:b w:val="0"/>
                <w:i w:val="0"/>
                <w:color w:val="111111"/>
                <w:sz w:val="15"/>
              </w:rPr>
              <w:t>Any</w:t>
            </w:r>
          </w:p>
        </w:tc>
      </w:tr>
      <w:tr>
        <w:tc>
          <w:tcPr>
            <w:tcW w:type="dxa" w:w="1900"/>
          </w:tcPr>
          <w:p>
            <w:pPr>
              <w:spacing w:after="0" w:line="252" w:lineRule="auto"/>
            </w:pPr>
            <w:r>
              <w:rPr>
                <w:rFonts w:ascii="Calibri" w:hAnsi="Calibri"/>
                <w:b w:val="0"/>
                <w:i w:val="0"/>
                <w:color w:val="111111"/>
                <w:sz w:val="15"/>
              </w:rPr>
              <w:t>Roster/season operations</w:t>
            </w:r>
          </w:p>
        </w:tc>
        <w:tc>
          <w:tcPr>
            <w:tcW w:type="dxa" w:w="900"/>
          </w:tcPr>
          <w:p>
            <w:pPr>
              <w:spacing w:after="0" w:line="252" w:lineRule="auto"/>
            </w:pPr>
            <w:r>
              <w:rPr>
                <w:rFonts w:ascii="Calibri" w:hAnsi="Calibri"/>
                <w:b w:val="0"/>
                <w:i w:val="0"/>
                <w:color w:val="111111"/>
                <w:sz w:val="15"/>
              </w:rPr>
              <w:t>-</w:t>
            </w:r>
          </w:p>
        </w:tc>
        <w:tc>
          <w:tcPr>
            <w:tcW w:type="dxa" w:w="1000"/>
          </w:tcPr>
          <w:p>
            <w:pPr>
              <w:spacing w:after="0" w:line="252" w:lineRule="auto"/>
            </w:pPr>
            <w:r>
              <w:rPr>
                <w:rFonts w:ascii="Calibri" w:hAnsi="Calibri"/>
                <w:b w:val="0"/>
                <w:i w:val="0"/>
                <w:color w:val="111111"/>
                <w:sz w:val="15"/>
              </w:rPr>
              <w:t>-</w:t>
            </w:r>
          </w:p>
        </w:tc>
        <w:tc>
          <w:tcPr>
            <w:tcW w:type="dxa" w:w="1150"/>
          </w:tcPr>
          <w:p>
            <w:pPr>
              <w:spacing w:after="0" w:line="252" w:lineRule="auto"/>
            </w:pPr>
            <w:r>
              <w:rPr>
                <w:rFonts w:ascii="Calibri" w:hAnsi="Calibri"/>
                <w:b w:val="0"/>
                <w:i w:val="0"/>
                <w:color w:val="111111"/>
                <w:sz w:val="15"/>
              </w:rPr>
              <w:t>Request/view</w:t>
            </w:r>
          </w:p>
        </w:tc>
        <w:tc>
          <w:tcPr>
            <w:tcW w:type="dxa" w:w="1050"/>
          </w:tcPr>
          <w:p>
            <w:pPr>
              <w:spacing w:after="0" w:line="252" w:lineRule="auto"/>
            </w:pPr>
            <w:r>
              <w:rPr>
                <w:rFonts w:ascii="Calibri" w:hAnsi="Calibri"/>
                <w:b w:val="0"/>
                <w:i w:val="0"/>
                <w:color w:val="111111"/>
                <w:sz w:val="15"/>
              </w:rPr>
              <w:t>Season scope</w:t>
            </w:r>
          </w:p>
        </w:tc>
        <w:tc>
          <w:tcPr>
            <w:tcW w:type="dxa" w:w="1300"/>
          </w:tcPr>
          <w:p>
            <w:pPr>
              <w:spacing w:after="0" w:line="252" w:lineRule="auto"/>
            </w:pPr>
            <w:r>
              <w:rPr>
                <w:rFonts w:ascii="Calibri" w:hAnsi="Calibri"/>
                <w:b w:val="0"/>
                <w:i w:val="0"/>
                <w:color w:val="111111"/>
                <w:sz w:val="15"/>
              </w:rPr>
              <w:t>View</w:t>
            </w:r>
          </w:p>
        </w:tc>
        <w:tc>
          <w:tcPr>
            <w:tcW w:type="dxa" w:w="2060"/>
          </w:tcPr>
          <w:p>
            <w:pPr>
              <w:spacing w:after="0" w:line="252" w:lineRule="auto"/>
            </w:pPr>
            <w:r>
              <w:rPr>
                <w:rFonts w:ascii="Calibri" w:hAnsi="Calibri"/>
                <w:b w:val="0"/>
                <w:i w:val="0"/>
                <w:color w:val="111111"/>
                <w:sz w:val="15"/>
              </w:rPr>
              <w:t>Any</w:t>
            </w:r>
          </w:p>
        </w:tc>
      </w:tr>
      <w:tr>
        <w:tc>
          <w:tcPr>
            <w:tcW w:type="dxa" w:w="1900"/>
          </w:tcPr>
          <w:p>
            <w:pPr>
              <w:spacing w:after="0" w:line="252" w:lineRule="auto"/>
            </w:pPr>
            <w:r>
              <w:rPr>
                <w:rFonts w:ascii="Calibri" w:hAnsi="Calibri"/>
                <w:b w:val="0"/>
                <w:i w:val="0"/>
                <w:color w:val="111111"/>
                <w:sz w:val="15"/>
              </w:rPr>
              <w:t>Schedule/score</w:t>
            </w:r>
          </w:p>
        </w:tc>
        <w:tc>
          <w:tcPr>
            <w:tcW w:type="dxa" w:w="900"/>
          </w:tcPr>
          <w:p>
            <w:pPr>
              <w:spacing w:after="0" w:line="252" w:lineRule="auto"/>
            </w:pPr>
            <w:r>
              <w:rPr>
                <w:rFonts w:ascii="Calibri" w:hAnsi="Calibri"/>
                <w:b w:val="0"/>
                <w:i w:val="0"/>
                <w:color w:val="111111"/>
                <w:sz w:val="15"/>
              </w:rPr>
              <w:t>Published read</w:t>
            </w:r>
          </w:p>
        </w:tc>
        <w:tc>
          <w:tcPr>
            <w:tcW w:type="dxa" w:w="1000"/>
          </w:tcPr>
          <w:p>
            <w:pPr>
              <w:spacing w:after="0" w:line="252" w:lineRule="auto"/>
            </w:pPr>
            <w:r>
              <w:rPr>
                <w:rFonts w:ascii="Calibri" w:hAnsi="Calibri"/>
                <w:b w:val="0"/>
                <w:i w:val="0"/>
                <w:color w:val="111111"/>
                <w:sz w:val="15"/>
              </w:rPr>
              <w:t>Assigned read</w:t>
            </w:r>
          </w:p>
        </w:tc>
        <w:tc>
          <w:tcPr>
            <w:tcW w:type="dxa" w:w="1150"/>
          </w:tcPr>
          <w:p>
            <w:pPr>
              <w:spacing w:after="0" w:line="252" w:lineRule="auto"/>
            </w:pPr>
            <w:r>
              <w:rPr>
                <w:rFonts w:ascii="Calibri" w:hAnsi="Calibri"/>
                <w:b w:val="0"/>
                <w:i w:val="0"/>
                <w:color w:val="111111"/>
                <w:sz w:val="15"/>
              </w:rPr>
              <w:t>Team scope</w:t>
            </w:r>
          </w:p>
        </w:tc>
        <w:tc>
          <w:tcPr>
            <w:tcW w:type="dxa" w:w="1050"/>
          </w:tcPr>
          <w:p>
            <w:pPr>
              <w:spacing w:after="0" w:line="252" w:lineRule="auto"/>
            </w:pPr>
            <w:r>
              <w:rPr>
                <w:rFonts w:ascii="Calibri" w:hAnsi="Calibri"/>
                <w:b w:val="0"/>
                <w:i w:val="0"/>
                <w:color w:val="111111"/>
                <w:sz w:val="15"/>
              </w:rPr>
              <w:t>Season scope</w:t>
            </w:r>
          </w:p>
        </w:tc>
        <w:tc>
          <w:tcPr>
            <w:tcW w:type="dxa" w:w="1300"/>
          </w:tcPr>
          <w:p>
            <w:pPr>
              <w:spacing w:after="0" w:line="252" w:lineRule="auto"/>
            </w:pPr>
            <w:r>
              <w:rPr>
                <w:rFonts w:ascii="Calibri" w:hAnsi="Calibri"/>
                <w:b w:val="0"/>
                <w:i w:val="0"/>
                <w:color w:val="111111"/>
                <w:sz w:val="15"/>
              </w:rPr>
              <w:t>Read</w:t>
            </w:r>
          </w:p>
        </w:tc>
        <w:tc>
          <w:tcPr>
            <w:tcW w:type="dxa" w:w="2060"/>
          </w:tcPr>
          <w:p>
            <w:pPr>
              <w:spacing w:after="0" w:line="252" w:lineRule="auto"/>
            </w:pPr>
            <w:r>
              <w:rPr>
                <w:rFonts w:ascii="Calibri" w:hAnsi="Calibri"/>
                <w:b w:val="0"/>
                <w:i w:val="0"/>
                <w:color w:val="111111"/>
                <w:sz w:val="15"/>
              </w:rPr>
              <w:t>Any</w:t>
            </w:r>
          </w:p>
        </w:tc>
      </w:tr>
      <w:tr>
        <w:tc>
          <w:tcPr>
            <w:tcW w:type="dxa" w:w="1900"/>
          </w:tcPr>
          <w:p>
            <w:pPr>
              <w:spacing w:after="0" w:line="252" w:lineRule="auto"/>
            </w:pPr>
            <w:r>
              <w:rPr>
                <w:rFonts w:ascii="Calibri" w:hAnsi="Calibri"/>
                <w:b w:val="0"/>
                <w:i w:val="0"/>
                <w:color w:val="111111"/>
                <w:sz w:val="15"/>
              </w:rPr>
              <w:t>Security administration</w:t>
            </w:r>
          </w:p>
        </w:tc>
        <w:tc>
          <w:tcPr>
            <w:tcW w:type="dxa" w:w="900"/>
          </w:tcPr>
          <w:p>
            <w:pPr>
              <w:spacing w:after="0" w:line="252" w:lineRule="auto"/>
            </w:pPr>
            <w:r>
              <w:rPr>
                <w:rFonts w:ascii="Calibri" w:hAnsi="Calibri"/>
                <w:b w:val="0"/>
                <w:i w:val="0"/>
                <w:color w:val="111111"/>
                <w:sz w:val="15"/>
              </w:rPr>
              <w:t>-</w:t>
            </w:r>
          </w:p>
        </w:tc>
        <w:tc>
          <w:tcPr>
            <w:tcW w:type="dxa" w:w="1000"/>
          </w:tcPr>
          <w:p>
            <w:pPr>
              <w:spacing w:after="0" w:line="252" w:lineRule="auto"/>
            </w:pPr>
            <w:r>
              <w:rPr>
                <w:rFonts w:ascii="Calibri" w:hAnsi="Calibri"/>
                <w:b w:val="0"/>
                <w:i w:val="0"/>
                <w:color w:val="111111"/>
                <w:sz w:val="15"/>
              </w:rPr>
              <w:t>-</w:t>
            </w:r>
          </w:p>
        </w:tc>
        <w:tc>
          <w:tcPr>
            <w:tcW w:type="dxa" w:w="1150"/>
          </w:tcPr>
          <w:p>
            <w:pPr>
              <w:spacing w:after="0" w:line="252" w:lineRule="auto"/>
            </w:pPr>
            <w:r>
              <w:rPr>
                <w:rFonts w:ascii="Calibri" w:hAnsi="Calibri"/>
                <w:b w:val="0"/>
                <w:i w:val="0"/>
                <w:color w:val="111111"/>
                <w:sz w:val="15"/>
              </w:rPr>
              <w:t>-</w:t>
            </w:r>
          </w:p>
        </w:tc>
        <w:tc>
          <w:tcPr>
            <w:tcW w:type="dxa" w:w="1050"/>
          </w:tcPr>
          <w:p>
            <w:pPr>
              <w:spacing w:after="0" w:line="252" w:lineRule="auto"/>
            </w:pPr>
            <w:r>
              <w:rPr>
                <w:rFonts w:ascii="Calibri" w:hAnsi="Calibri"/>
                <w:b w:val="0"/>
                <w:i w:val="0"/>
                <w:color w:val="111111"/>
                <w:sz w:val="15"/>
              </w:rPr>
              <w:t>-</w:t>
            </w:r>
          </w:p>
        </w:tc>
        <w:tc>
          <w:tcPr>
            <w:tcW w:type="dxa" w:w="1300"/>
          </w:tcPr>
          <w:p>
            <w:pPr>
              <w:spacing w:after="0" w:line="252" w:lineRule="auto"/>
            </w:pPr>
            <w:r>
              <w:rPr>
                <w:rFonts w:ascii="Calibri" w:hAnsi="Calibri"/>
                <w:b w:val="0"/>
                <w:i w:val="0"/>
                <w:color w:val="111111"/>
                <w:sz w:val="15"/>
              </w:rPr>
              <w:t>-</w:t>
            </w:r>
          </w:p>
        </w:tc>
        <w:tc>
          <w:tcPr>
            <w:tcW w:type="dxa" w:w="2060"/>
          </w:tcPr>
          <w:p>
            <w:pPr>
              <w:spacing w:after="0" w:line="252" w:lineRule="auto"/>
            </w:pPr>
            <w:r>
              <w:rPr>
                <w:rFonts w:ascii="Calibri" w:hAnsi="Calibri"/>
                <w:b w:val="0"/>
                <w:i w:val="0"/>
                <w:color w:val="111111"/>
                <w:sz w:val="15"/>
              </w:rPr>
              <w:t>Any</w:t>
            </w:r>
          </w:p>
        </w:tc>
      </w:tr>
    </w:tbl>
    <w:p>
      <w:pPr>
        <w:spacing w:after="40"/>
      </w:pPr>
    </w:p>
    <w:p>
      <w:pPr>
        <w:pStyle w:val="Heading2"/>
        <w:keepNext/>
      </w:pPr>
      <w:r>
        <w:t>6.4 Security controls and residual risk</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200"/>
        <w:gridCol w:w="5200"/>
        <w:gridCol w:w="1960"/>
      </w:tblGrid>
      <w:tr>
        <w:trPr>
          <w:tblHeader w:val="true"/>
        </w:trPr>
        <w:tc>
          <w:tcPr>
            <w:tcW w:type="dxa" w:w="22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Control</w:t>
            </w:r>
          </w:p>
        </w:tc>
        <w:tc>
          <w:tcPr>
            <w:tcW w:type="dxa" w:w="52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Design</w:t>
            </w:r>
          </w:p>
        </w:tc>
        <w:tc>
          <w:tcPr>
            <w:tcW w:type="dxa" w:w="196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Status</w:t>
            </w:r>
          </w:p>
        </w:tc>
      </w:tr>
      <w:tr>
        <w:tc>
          <w:tcPr>
            <w:tcW w:type="dxa" w:w="2200"/>
          </w:tcPr>
          <w:p>
            <w:pPr>
              <w:spacing w:after="0" w:line="252" w:lineRule="auto"/>
            </w:pPr>
            <w:r>
              <w:rPr>
                <w:rFonts w:ascii="Calibri" w:hAnsi="Calibri"/>
                <w:b w:val="0"/>
                <w:i w:val="0"/>
                <w:color w:val="111111"/>
                <w:sz w:val="16"/>
              </w:rPr>
              <w:t>Verified identity</w:t>
            </w:r>
          </w:p>
        </w:tc>
        <w:tc>
          <w:tcPr>
            <w:tcW w:type="dxa" w:w="5200"/>
          </w:tcPr>
          <w:p>
            <w:pPr>
              <w:spacing w:after="0" w:line="252" w:lineRule="auto"/>
            </w:pPr>
            <w:r>
              <w:rPr>
                <w:rFonts w:ascii="Calibri" w:hAnsi="Calibri"/>
                <w:b w:val="0"/>
                <w:i w:val="0"/>
                <w:color w:val="111111"/>
                <w:sz w:val="16"/>
              </w:rPr>
              <w:t>Firebase ID token and verified Google email.</w:t>
            </w:r>
          </w:p>
        </w:tc>
        <w:tc>
          <w:tcPr>
            <w:tcW w:type="dxa" w:w="1960"/>
          </w:tcPr>
          <w:p>
            <w:pPr>
              <w:spacing w:after="0" w:line="252" w:lineRule="auto"/>
            </w:pPr>
            <w:r>
              <w:rPr>
                <w:rFonts w:ascii="Calibri" w:hAnsi="Calibri"/>
                <w:b w:val="0"/>
                <w:i w:val="0"/>
                <w:color w:val="111111"/>
                <w:sz w:val="16"/>
              </w:rPr>
              <w:t>Implemented</w:t>
            </w:r>
          </w:p>
        </w:tc>
      </w:tr>
      <w:tr>
        <w:tc>
          <w:tcPr>
            <w:tcW w:type="dxa" w:w="2200"/>
          </w:tcPr>
          <w:p>
            <w:pPr>
              <w:spacing w:after="0" w:line="252" w:lineRule="auto"/>
            </w:pPr>
            <w:r>
              <w:rPr>
                <w:rFonts w:ascii="Calibri" w:hAnsi="Calibri"/>
                <w:b w:val="0"/>
                <w:i w:val="0"/>
                <w:color w:val="111111"/>
                <w:sz w:val="16"/>
              </w:rPr>
              <w:t>Private data isolation</w:t>
            </w:r>
          </w:p>
        </w:tc>
        <w:tc>
          <w:tcPr>
            <w:tcW w:type="dxa" w:w="5200"/>
          </w:tcPr>
          <w:p>
            <w:pPr>
              <w:spacing w:after="0" w:line="252" w:lineRule="auto"/>
            </w:pPr>
            <w:r>
              <w:rPr>
                <w:rFonts w:ascii="Calibri" w:hAnsi="Calibri"/>
                <w:b w:val="0"/>
                <w:i w:val="0"/>
                <w:color w:val="111111"/>
                <w:sz w:val="16"/>
              </w:rPr>
              <w:t>Separate playerPrivate and venuePrivate documents.</w:t>
            </w:r>
          </w:p>
        </w:tc>
        <w:tc>
          <w:tcPr>
            <w:tcW w:type="dxa" w:w="1960"/>
          </w:tcPr>
          <w:p>
            <w:pPr>
              <w:spacing w:after="0" w:line="252" w:lineRule="auto"/>
            </w:pPr>
            <w:r>
              <w:rPr>
                <w:rFonts w:ascii="Calibri" w:hAnsi="Calibri"/>
                <w:b w:val="0"/>
                <w:i w:val="0"/>
                <w:color w:val="111111"/>
                <w:sz w:val="16"/>
              </w:rPr>
              <w:t>Implemented</w:t>
            </w:r>
          </w:p>
        </w:tc>
      </w:tr>
      <w:tr>
        <w:tc>
          <w:tcPr>
            <w:tcW w:type="dxa" w:w="2200"/>
          </w:tcPr>
          <w:p>
            <w:pPr>
              <w:spacing w:after="0" w:line="252" w:lineRule="auto"/>
            </w:pPr>
            <w:r>
              <w:rPr>
                <w:rFonts w:ascii="Calibri" w:hAnsi="Calibri"/>
                <w:b w:val="0"/>
                <w:i w:val="0"/>
                <w:color w:val="111111"/>
                <w:sz w:val="16"/>
              </w:rPr>
              <w:t>Role enforcement</w:t>
            </w:r>
          </w:p>
        </w:tc>
        <w:tc>
          <w:tcPr>
            <w:tcW w:type="dxa" w:w="5200"/>
          </w:tcPr>
          <w:p>
            <w:pPr>
              <w:spacing w:after="0" w:line="252" w:lineRule="auto"/>
            </w:pPr>
            <w:r>
              <w:rPr>
                <w:rFonts w:ascii="Calibri" w:hAnsi="Calibri"/>
                <w:b w:val="0"/>
                <w:i w:val="0"/>
                <w:color w:val="111111"/>
                <w:sz w:val="16"/>
              </w:rPr>
              <w:t>Rules read user, member, assignment, and matchup snapshots.</w:t>
            </w:r>
          </w:p>
        </w:tc>
        <w:tc>
          <w:tcPr>
            <w:tcW w:type="dxa" w:w="1960"/>
          </w:tcPr>
          <w:p>
            <w:pPr>
              <w:spacing w:after="0" w:line="252" w:lineRule="auto"/>
            </w:pPr>
            <w:r>
              <w:rPr>
                <w:rFonts w:ascii="Calibri" w:hAnsi="Calibri"/>
                <w:b w:val="0"/>
                <w:i w:val="0"/>
                <w:color w:val="111111"/>
                <w:sz w:val="16"/>
              </w:rPr>
              <w:t>Implemented</w:t>
            </w:r>
          </w:p>
        </w:tc>
      </w:tr>
      <w:tr>
        <w:tc>
          <w:tcPr>
            <w:tcW w:type="dxa" w:w="2200"/>
          </w:tcPr>
          <w:p>
            <w:pPr>
              <w:spacing w:after="0" w:line="252" w:lineRule="auto"/>
            </w:pPr>
            <w:r>
              <w:rPr>
                <w:rFonts w:ascii="Calibri" w:hAnsi="Calibri"/>
                <w:b w:val="0"/>
                <w:i w:val="0"/>
                <w:color w:val="111111"/>
                <w:sz w:val="16"/>
              </w:rPr>
              <w:t>Privilege snapshot</w:t>
            </w:r>
          </w:p>
        </w:tc>
        <w:tc>
          <w:tcPr>
            <w:tcW w:type="dxa" w:w="5200"/>
          </w:tcPr>
          <w:p>
            <w:pPr>
              <w:spacing w:after="0" w:line="252" w:lineRule="auto"/>
            </w:pPr>
            <w:r>
              <w:rPr>
                <w:rFonts w:ascii="Calibri" w:hAnsi="Calibri"/>
                <w:b w:val="0"/>
                <w:i w:val="0"/>
                <w:color w:val="111111"/>
                <w:sz w:val="16"/>
              </w:rPr>
              <w:t>Matchups carry captain and approver UID lists for efficient rule evaluation.</w:t>
            </w:r>
          </w:p>
        </w:tc>
        <w:tc>
          <w:tcPr>
            <w:tcW w:type="dxa" w:w="1960"/>
          </w:tcPr>
          <w:p>
            <w:pPr>
              <w:spacing w:after="0" w:line="252" w:lineRule="auto"/>
            </w:pPr>
            <w:r>
              <w:rPr>
                <w:rFonts w:ascii="Calibri" w:hAnsi="Calibri"/>
                <w:b w:val="0"/>
                <w:i w:val="0"/>
                <w:color w:val="111111"/>
                <w:sz w:val="16"/>
              </w:rPr>
              <w:t>Implemented</w:t>
            </w:r>
          </w:p>
        </w:tc>
      </w:tr>
      <w:tr>
        <w:tc>
          <w:tcPr>
            <w:tcW w:type="dxa" w:w="2200"/>
          </w:tcPr>
          <w:p>
            <w:pPr>
              <w:spacing w:after="0" w:line="252" w:lineRule="auto"/>
            </w:pPr>
            <w:r>
              <w:rPr>
                <w:rFonts w:ascii="Calibri" w:hAnsi="Calibri"/>
                <w:b w:val="0"/>
                <w:i w:val="0"/>
                <w:color w:val="111111"/>
                <w:sz w:val="16"/>
              </w:rPr>
              <w:t>Workflow actor binding</w:t>
            </w:r>
          </w:p>
        </w:tc>
        <w:tc>
          <w:tcPr>
            <w:tcW w:type="dxa" w:w="5200"/>
          </w:tcPr>
          <w:p>
            <w:pPr>
              <w:spacing w:after="0" w:line="252" w:lineRule="auto"/>
            </w:pPr>
            <w:r>
              <w:rPr>
                <w:rFonts w:ascii="Calibri" w:hAnsi="Calibri"/>
                <w:b w:val="0"/>
                <w:i w:val="0"/>
                <w:color w:val="111111"/>
                <w:sz w:val="16"/>
              </w:rPr>
              <w:t>Matchup stores operation ID and actor UID; related writes must match.</w:t>
            </w:r>
          </w:p>
        </w:tc>
        <w:tc>
          <w:tcPr>
            <w:tcW w:type="dxa" w:w="1960"/>
          </w:tcPr>
          <w:p>
            <w:pPr>
              <w:spacing w:after="0" w:line="252" w:lineRule="auto"/>
            </w:pPr>
            <w:r>
              <w:rPr>
                <w:rFonts w:ascii="Calibri" w:hAnsi="Calibri"/>
                <w:b w:val="0"/>
                <w:i w:val="0"/>
                <w:color w:val="111111"/>
                <w:sz w:val="16"/>
              </w:rPr>
              <w:t>Implemented</w:t>
            </w:r>
          </w:p>
        </w:tc>
      </w:tr>
      <w:tr>
        <w:tc>
          <w:tcPr>
            <w:tcW w:type="dxa" w:w="2200"/>
          </w:tcPr>
          <w:p>
            <w:pPr>
              <w:spacing w:after="0" w:line="252" w:lineRule="auto"/>
            </w:pPr>
            <w:r>
              <w:rPr>
                <w:rFonts w:ascii="Calibri" w:hAnsi="Calibri"/>
                <w:b w:val="0"/>
                <w:i w:val="0"/>
                <w:color w:val="111111"/>
                <w:sz w:val="16"/>
              </w:rPr>
              <w:t>Immutable workflow history</w:t>
            </w:r>
          </w:p>
        </w:tc>
        <w:tc>
          <w:tcPr>
            <w:tcW w:type="dxa" w:w="5200"/>
          </w:tcPr>
          <w:p>
            <w:pPr>
              <w:spacing w:after="0" w:line="252" w:lineRule="auto"/>
            </w:pPr>
            <w:r>
              <w:rPr>
                <w:rFonts w:ascii="Calibri" w:hAnsi="Calibri"/>
                <w:b w:val="0"/>
                <w:i w:val="0"/>
                <w:color w:val="111111"/>
                <w:sz w:val="16"/>
              </w:rPr>
              <w:t>Submitted revisions and action records cannot be updated or deleted.</w:t>
            </w:r>
          </w:p>
        </w:tc>
        <w:tc>
          <w:tcPr>
            <w:tcW w:type="dxa" w:w="1960"/>
          </w:tcPr>
          <w:p>
            <w:pPr>
              <w:spacing w:after="0" w:line="252" w:lineRule="auto"/>
            </w:pPr>
            <w:r>
              <w:rPr>
                <w:rFonts w:ascii="Calibri" w:hAnsi="Calibri"/>
                <w:b w:val="0"/>
                <w:i w:val="0"/>
                <w:color w:val="111111"/>
                <w:sz w:val="16"/>
              </w:rPr>
              <w:t>Implemented</w:t>
            </w:r>
          </w:p>
        </w:tc>
      </w:tr>
      <w:tr>
        <w:tc>
          <w:tcPr>
            <w:tcW w:type="dxa" w:w="2200"/>
          </w:tcPr>
          <w:p>
            <w:pPr>
              <w:spacing w:after="0" w:line="252" w:lineRule="auto"/>
            </w:pPr>
            <w:r>
              <w:rPr>
                <w:rFonts w:ascii="Calibri" w:hAnsi="Calibri"/>
                <w:b w:val="0"/>
                <w:i w:val="0"/>
                <w:color w:val="111111"/>
                <w:sz w:val="16"/>
              </w:rPr>
              <w:t>Exceptional reset score check</w:t>
            </w:r>
          </w:p>
        </w:tc>
        <w:tc>
          <w:tcPr>
            <w:tcW w:type="dxa" w:w="5200"/>
          </w:tcPr>
          <w:p>
            <w:pPr>
              <w:spacing w:after="0" w:line="252" w:lineRule="auto"/>
            </w:pPr>
            <w:r>
              <w:rPr>
                <w:rFonts w:ascii="Calibri" w:hAnsi="Calibri"/>
                <w:b w:val="0"/>
                <w:i w:val="0"/>
                <w:color w:val="111111"/>
                <w:sz w:val="16"/>
              </w:rPr>
              <w:t>Application queries line matches and transaction re-reads them.</w:t>
            </w:r>
          </w:p>
        </w:tc>
        <w:tc>
          <w:tcPr>
            <w:tcW w:type="dxa" w:w="1960"/>
          </w:tcPr>
          <w:p>
            <w:pPr>
              <w:spacing w:after="0" w:line="252" w:lineRule="auto"/>
            </w:pPr>
            <w:r>
              <w:rPr>
                <w:rFonts w:ascii="Calibri" w:hAnsi="Calibri"/>
                <w:b w:val="0"/>
                <w:i w:val="0"/>
                <w:color w:val="111111"/>
                <w:sz w:val="16"/>
              </w:rPr>
              <w:t>Application-enforced</w:t>
            </w:r>
          </w:p>
        </w:tc>
      </w:tr>
      <w:tr>
        <w:tc>
          <w:tcPr>
            <w:tcW w:type="dxa" w:w="2200"/>
          </w:tcPr>
          <w:p>
            <w:pPr>
              <w:spacing w:after="0" w:line="252" w:lineRule="auto"/>
            </w:pPr>
            <w:r>
              <w:rPr>
                <w:rFonts w:ascii="Calibri" w:hAnsi="Calibri"/>
                <w:b w:val="0"/>
                <w:i w:val="0"/>
                <w:color w:val="111111"/>
                <w:sz w:val="16"/>
              </w:rPr>
              <w:t>App Check</w:t>
            </w:r>
          </w:p>
        </w:tc>
        <w:tc>
          <w:tcPr>
            <w:tcW w:type="dxa" w:w="5200"/>
          </w:tcPr>
          <w:p>
            <w:pPr>
              <w:spacing w:after="0" w:line="252" w:lineRule="auto"/>
            </w:pPr>
            <w:r>
              <w:rPr>
                <w:rFonts w:ascii="Calibri" w:hAnsi="Calibri"/>
                <w:b w:val="0"/>
                <w:i w:val="0"/>
                <w:color w:val="111111"/>
                <w:sz w:val="16"/>
              </w:rPr>
              <w:t>No enforced App Check attestation.</w:t>
            </w:r>
          </w:p>
        </w:tc>
        <w:tc>
          <w:tcPr>
            <w:tcW w:type="dxa" w:w="1960"/>
          </w:tcPr>
          <w:p>
            <w:pPr>
              <w:spacing w:after="0" w:line="252" w:lineRule="auto"/>
            </w:pPr>
            <w:r>
              <w:rPr>
                <w:rFonts w:ascii="Calibri" w:hAnsi="Calibri"/>
                <w:b w:val="0"/>
                <w:i w:val="0"/>
                <w:color w:val="111111"/>
                <w:sz w:val="16"/>
              </w:rPr>
              <w:t>Gap</w:t>
            </w:r>
          </w:p>
        </w:tc>
      </w:tr>
      <w:tr>
        <w:tc>
          <w:tcPr>
            <w:tcW w:type="dxa" w:w="2200"/>
          </w:tcPr>
          <w:p>
            <w:pPr>
              <w:spacing w:after="0" w:line="252" w:lineRule="auto"/>
            </w:pPr>
            <w:r>
              <w:rPr>
                <w:rFonts w:ascii="Calibri" w:hAnsi="Calibri"/>
                <w:b w:val="0"/>
                <w:i w:val="0"/>
                <w:color w:val="111111"/>
                <w:sz w:val="16"/>
              </w:rPr>
              <w:t>Central monitoring</w:t>
            </w:r>
          </w:p>
        </w:tc>
        <w:tc>
          <w:tcPr>
            <w:tcW w:type="dxa" w:w="5200"/>
          </w:tcPr>
          <w:p>
            <w:pPr>
              <w:spacing w:after="0" w:line="252" w:lineRule="auto"/>
            </w:pPr>
            <w:r>
              <w:rPr>
                <w:rFonts w:ascii="Calibri" w:hAnsi="Calibri"/>
                <w:b w:val="0"/>
                <w:i w:val="0"/>
                <w:color w:val="111111"/>
                <w:sz w:val="16"/>
              </w:rPr>
              <w:t>No server event pipeline or alerting.</w:t>
            </w:r>
          </w:p>
        </w:tc>
        <w:tc>
          <w:tcPr>
            <w:tcW w:type="dxa" w:w="1960"/>
          </w:tcPr>
          <w:p>
            <w:pPr>
              <w:spacing w:after="0" w:line="252" w:lineRule="auto"/>
            </w:pPr>
            <w:r>
              <w:rPr>
                <w:rFonts w:ascii="Calibri" w:hAnsi="Calibri"/>
                <w:b w:val="0"/>
                <w:i w:val="0"/>
                <w:color w:val="111111"/>
                <w:sz w:val="16"/>
              </w:rPr>
              <w:t>Gap</w:t>
            </w:r>
          </w:p>
        </w:tc>
      </w:tr>
      <w:tr>
        <w:tc>
          <w:tcPr>
            <w:tcW w:type="dxa" w:w="2200"/>
          </w:tcPr>
          <w:p>
            <w:pPr>
              <w:spacing w:after="0" w:line="252" w:lineRule="auto"/>
            </w:pPr>
            <w:r>
              <w:rPr>
                <w:rFonts w:ascii="Calibri" w:hAnsi="Calibri"/>
                <w:b w:val="0"/>
                <w:i w:val="0"/>
                <w:color w:val="111111"/>
                <w:sz w:val="16"/>
              </w:rPr>
              <w:t>Bootstrap Super Admin</w:t>
            </w:r>
          </w:p>
        </w:tc>
        <w:tc>
          <w:tcPr>
            <w:tcW w:type="dxa" w:w="5200"/>
          </w:tcPr>
          <w:p>
            <w:pPr>
              <w:spacing w:after="0" w:line="252" w:lineRule="auto"/>
            </w:pPr>
            <w:r>
              <w:rPr>
                <w:rFonts w:ascii="Calibri" w:hAnsi="Calibri"/>
                <w:b w:val="0"/>
                <w:i w:val="0"/>
                <w:color w:val="111111"/>
                <w:sz w:val="16"/>
              </w:rPr>
              <w:t>Protected email is embedded in client/rules until custom claims are introduced.</w:t>
            </w:r>
          </w:p>
        </w:tc>
        <w:tc>
          <w:tcPr>
            <w:tcW w:type="dxa" w:w="1960"/>
          </w:tcPr>
          <w:p>
            <w:pPr>
              <w:spacing w:after="0" w:line="252" w:lineRule="auto"/>
            </w:pPr>
            <w:r>
              <w:rPr>
                <w:rFonts w:ascii="Calibri" w:hAnsi="Calibri"/>
                <w:b w:val="0"/>
                <w:i w:val="0"/>
                <w:color w:val="111111"/>
                <w:sz w:val="16"/>
              </w:rPr>
              <w:t>Accepted interim risk</w:t>
            </w:r>
          </w:p>
        </w:tc>
      </w:tr>
    </w:tbl>
    <w:p>
      <w:pPr>
        <w:spacing w:after="40"/>
      </w:pPr>
    </w:p>
    <w:p>
      <w:pPr>
        <w:pStyle w:val="Heading1"/>
        <w:keepNext/>
      </w:pPr>
      <w:r>
        <w:t>7. Data architecture</w:t>
      </w:r>
    </w:p>
    <w:p>
      <w:pPr>
        <w:pStyle w:val="Heading2"/>
        <w:keepNext/>
      </w:pPr>
      <w:r>
        <w:t>7.1 Collection hierarchy</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800"/>
        <w:gridCol w:w="4300"/>
        <w:gridCol w:w="3260"/>
      </w:tblGrid>
      <w:tr>
        <w:trPr>
          <w:tblHeader w:val="true"/>
        </w:trPr>
        <w:tc>
          <w:tcPr>
            <w:tcW w:type="dxa" w:w="18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Domain</w:t>
            </w:r>
          </w:p>
        </w:tc>
        <w:tc>
          <w:tcPr>
            <w:tcW w:type="dxa" w:w="43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Collections</w:t>
            </w:r>
          </w:p>
        </w:tc>
        <w:tc>
          <w:tcPr>
            <w:tcW w:type="dxa" w:w="326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Purpose</w:t>
            </w:r>
          </w:p>
        </w:tc>
      </w:tr>
      <w:tr>
        <w:tc>
          <w:tcPr>
            <w:tcW w:type="dxa" w:w="1800"/>
          </w:tcPr>
          <w:p>
            <w:pPr>
              <w:spacing w:after="0" w:line="252" w:lineRule="auto"/>
            </w:pPr>
            <w:r>
              <w:rPr>
                <w:rFonts w:ascii="Calibri" w:hAnsi="Calibri"/>
                <w:b w:val="0"/>
                <w:i w:val="0"/>
                <w:color w:val="111111"/>
                <w:sz w:val="16"/>
              </w:rPr>
              <w:t>Global identity</w:t>
            </w:r>
          </w:p>
        </w:tc>
        <w:tc>
          <w:tcPr>
            <w:tcW w:type="dxa" w:w="4300"/>
          </w:tcPr>
          <w:p>
            <w:pPr>
              <w:spacing w:after="0" w:line="252" w:lineRule="auto"/>
            </w:pPr>
            <w:r>
              <w:rPr>
                <w:rFonts w:ascii="Calibri" w:hAnsi="Calibri"/>
                <w:b w:val="0"/>
                <w:i w:val="0"/>
                <w:color w:val="111111"/>
                <w:sz w:val="16"/>
              </w:rPr>
              <w:t>users, players, playerPrivate, playerEmailIndex, playerAccountLinks, registrationRequests</w:t>
            </w:r>
          </w:p>
        </w:tc>
        <w:tc>
          <w:tcPr>
            <w:tcW w:type="dxa" w:w="3260"/>
          </w:tcPr>
          <w:p>
            <w:pPr>
              <w:spacing w:after="0" w:line="252" w:lineRule="auto"/>
            </w:pPr>
            <w:r>
              <w:rPr>
                <w:rFonts w:ascii="Calibri" w:hAnsi="Calibri"/>
                <w:b w:val="0"/>
                <w:i w:val="0"/>
                <w:color w:val="111111"/>
                <w:sz w:val="16"/>
              </w:rPr>
              <w:t>Account identity and canonical person records</w:t>
            </w:r>
          </w:p>
        </w:tc>
      </w:tr>
      <w:tr>
        <w:tc>
          <w:tcPr>
            <w:tcW w:type="dxa" w:w="1800"/>
          </w:tcPr>
          <w:p>
            <w:pPr>
              <w:spacing w:after="0" w:line="252" w:lineRule="auto"/>
            </w:pPr>
            <w:r>
              <w:rPr>
                <w:rFonts w:ascii="Calibri" w:hAnsi="Calibri"/>
                <w:b w:val="0"/>
                <w:i w:val="0"/>
                <w:color w:val="111111"/>
                <w:sz w:val="16"/>
              </w:rPr>
              <w:t>Global reference</w:t>
            </w:r>
          </w:p>
        </w:tc>
        <w:tc>
          <w:tcPr>
            <w:tcW w:type="dxa" w:w="4300"/>
          </w:tcPr>
          <w:p>
            <w:pPr>
              <w:spacing w:after="0" w:line="252" w:lineRule="auto"/>
            </w:pPr>
            <w:r>
              <w:rPr>
                <w:rFonts w:ascii="Calibri" w:hAnsi="Calibri"/>
                <w:b w:val="0"/>
                <w:i w:val="0"/>
                <w:color w:val="111111"/>
                <w:sz w:val="16"/>
              </w:rPr>
              <w:t>venues, venuePrivate, systemConfig, aoContent</w:t>
            </w:r>
          </w:p>
        </w:tc>
        <w:tc>
          <w:tcPr>
            <w:tcW w:type="dxa" w:w="3260"/>
          </w:tcPr>
          <w:p>
            <w:pPr>
              <w:spacing w:after="0" w:line="252" w:lineRule="auto"/>
            </w:pPr>
            <w:r>
              <w:rPr>
                <w:rFonts w:ascii="Calibri" w:hAnsi="Calibri"/>
                <w:b w:val="0"/>
                <w:i w:val="0"/>
                <w:color w:val="111111"/>
                <w:sz w:val="16"/>
              </w:rPr>
              <w:t>Venues, active season control, public content</w:t>
            </w:r>
          </w:p>
        </w:tc>
      </w:tr>
      <w:tr>
        <w:tc>
          <w:tcPr>
            <w:tcW w:type="dxa" w:w="1800"/>
          </w:tcPr>
          <w:p>
            <w:pPr>
              <w:spacing w:after="0" w:line="252" w:lineRule="auto"/>
            </w:pPr>
            <w:r>
              <w:rPr>
                <w:rFonts w:ascii="Calibri" w:hAnsi="Calibri"/>
                <w:b w:val="0"/>
                <w:i w:val="0"/>
                <w:color w:val="111111"/>
                <w:sz w:val="16"/>
              </w:rPr>
              <w:t>Season core</w:t>
            </w:r>
          </w:p>
        </w:tc>
        <w:tc>
          <w:tcPr>
            <w:tcW w:type="dxa" w:w="4300"/>
          </w:tcPr>
          <w:p>
            <w:pPr>
              <w:spacing w:after="0" w:line="252" w:lineRule="auto"/>
            </w:pPr>
            <w:r>
              <w:rPr>
                <w:rFonts w:ascii="Calibri" w:hAnsi="Calibri"/>
                <w:b w:val="0"/>
                <w:i w:val="0"/>
                <w:color w:val="111111"/>
                <w:sz w:val="16"/>
              </w:rPr>
              <w:t>seasons/{seasonId}</w:t>
            </w:r>
          </w:p>
        </w:tc>
        <w:tc>
          <w:tcPr>
            <w:tcW w:type="dxa" w:w="3260"/>
          </w:tcPr>
          <w:p>
            <w:pPr>
              <w:spacing w:after="0" w:line="252" w:lineRule="auto"/>
            </w:pPr>
            <w:r>
              <w:rPr>
                <w:rFonts w:ascii="Calibri" w:hAnsi="Calibri"/>
                <w:b w:val="0"/>
                <w:i w:val="0"/>
                <w:color w:val="111111"/>
                <w:sz w:val="16"/>
              </w:rPr>
              <w:t>Season configuration and status</w:t>
            </w:r>
          </w:p>
        </w:tc>
      </w:tr>
      <w:tr>
        <w:tc>
          <w:tcPr>
            <w:tcW w:type="dxa" w:w="1800"/>
          </w:tcPr>
          <w:p>
            <w:pPr>
              <w:spacing w:after="0" w:line="252" w:lineRule="auto"/>
            </w:pPr>
            <w:r>
              <w:rPr>
                <w:rFonts w:ascii="Calibri" w:hAnsi="Calibri"/>
                <w:b w:val="0"/>
                <w:i w:val="0"/>
                <w:color w:val="111111"/>
                <w:sz w:val="16"/>
              </w:rPr>
              <w:t>Season access</w:t>
            </w:r>
          </w:p>
        </w:tc>
        <w:tc>
          <w:tcPr>
            <w:tcW w:type="dxa" w:w="4300"/>
          </w:tcPr>
          <w:p>
            <w:pPr>
              <w:spacing w:after="0" w:line="252" w:lineRule="auto"/>
            </w:pPr>
            <w:r>
              <w:rPr>
                <w:rFonts w:ascii="Calibri" w:hAnsi="Calibri"/>
                <w:b w:val="0"/>
                <w:i w:val="0"/>
                <w:color w:val="111111"/>
                <w:sz w:val="16"/>
              </w:rPr>
              <w:t>members, approverAssignments</w:t>
            </w:r>
          </w:p>
        </w:tc>
        <w:tc>
          <w:tcPr>
            <w:tcW w:type="dxa" w:w="3260"/>
          </w:tcPr>
          <w:p>
            <w:pPr>
              <w:spacing w:after="0" w:line="252" w:lineRule="auto"/>
            </w:pPr>
            <w:r>
              <w:rPr>
                <w:rFonts w:ascii="Calibri" w:hAnsi="Calibri"/>
                <w:b w:val="0"/>
                <w:i w:val="0"/>
                <w:color w:val="111111"/>
                <w:sz w:val="16"/>
              </w:rPr>
              <w:t>Season roles and approval scope</w:t>
            </w:r>
          </w:p>
        </w:tc>
      </w:tr>
      <w:tr>
        <w:tc>
          <w:tcPr>
            <w:tcW w:type="dxa" w:w="1800"/>
          </w:tcPr>
          <w:p>
            <w:pPr>
              <w:spacing w:after="0" w:line="252" w:lineRule="auto"/>
            </w:pPr>
            <w:r>
              <w:rPr>
                <w:rFonts w:ascii="Calibri" w:hAnsi="Calibri"/>
                <w:b w:val="0"/>
                <w:i w:val="0"/>
                <w:color w:val="111111"/>
                <w:sz w:val="16"/>
              </w:rPr>
              <w:t>Competition setup</w:t>
            </w:r>
          </w:p>
        </w:tc>
        <w:tc>
          <w:tcPr>
            <w:tcW w:type="dxa" w:w="4300"/>
          </w:tcPr>
          <w:p>
            <w:pPr>
              <w:spacing w:after="0" w:line="252" w:lineRule="auto"/>
            </w:pPr>
            <w:r>
              <w:rPr>
                <w:rFonts w:ascii="Calibri" w:hAnsi="Calibri"/>
                <w:b w:val="0"/>
                <w:i w:val="0"/>
                <w:color w:val="111111"/>
                <w:sz w:val="16"/>
              </w:rPr>
              <w:t>teams, rosterSlots, rosterAssignments, ruleVersions, weeks, matchups</w:t>
            </w:r>
          </w:p>
        </w:tc>
        <w:tc>
          <w:tcPr>
            <w:tcW w:type="dxa" w:w="3260"/>
          </w:tcPr>
          <w:p>
            <w:pPr>
              <w:spacing w:after="0" w:line="252" w:lineRule="auto"/>
            </w:pPr>
            <w:r>
              <w:rPr>
                <w:rFonts w:ascii="Calibri" w:hAnsi="Calibri"/>
                <w:b w:val="0"/>
                <w:i w:val="0"/>
                <w:color w:val="111111"/>
                <w:sz w:val="16"/>
              </w:rPr>
              <w:t>Teams, ranks, rules, schedule structure</w:t>
            </w:r>
          </w:p>
        </w:tc>
      </w:tr>
      <w:tr>
        <w:tc>
          <w:tcPr>
            <w:tcW w:type="dxa" w:w="1800"/>
          </w:tcPr>
          <w:p>
            <w:pPr>
              <w:spacing w:after="0" w:line="252" w:lineRule="auto"/>
            </w:pPr>
            <w:r>
              <w:rPr>
                <w:rFonts w:ascii="Calibri" w:hAnsi="Calibri"/>
                <w:b w:val="0"/>
                <w:i w:val="0"/>
                <w:color w:val="111111"/>
                <w:sz w:val="16"/>
              </w:rPr>
              <w:t>Lineup workflow</w:t>
            </w:r>
          </w:p>
        </w:tc>
        <w:tc>
          <w:tcPr>
            <w:tcW w:type="dxa" w:w="4300"/>
          </w:tcPr>
          <w:p>
            <w:pPr>
              <w:spacing w:after="0" w:line="252" w:lineRule="auto"/>
            </w:pPr>
            <w:r>
              <w:rPr>
                <w:rFonts w:ascii="Calibri" w:hAnsi="Calibri"/>
                <w:b w:val="0"/>
                <w:i w:val="0"/>
                <w:color w:val="111111"/>
                <w:sz w:val="16"/>
              </w:rPr>
              <w:t>matchups/{matchupId}/lineups, revisions, lineupReviews</w:t>
            </w:r>
          </w:p>
        </w:tc>
        <w:tc>
          <w:tcPr>
            <w:tcW w:type="dxa" w:w="3260"/>
          </w:tcPr>
          <w:p>
            <w:pPr>
              <w:spacing w:after="0" w:line="252" w:lineRule="auto"/>
            </w:pPr>
            <w:r>
              <w:rPr>
                <w:rFonts w:ascii="Calibri" w:hAnsi="Calibri"/>
                <w:b w:val="0"/>
                <w:i w:val="0"/>
                <w:color w:val="111111"/>
                <w:sz w:val="16"/>
              </w:rPr>
              <w:t>Current lineups, immutable submissions, actions</w:t>
            </w:r>
          </w:p>
        </w:tc>
      </w:tr>
      <w:tr>
        <w:tc>
          <w:tcPr>
            <w:tcW w:type="dxa" w:w="1800"/>
          </w:tcPr>
          <w:p>
            <w:pPr>
              <w:spacing w:after="0" w:line="252" w:lineRule="auto"/>
            </w:pPr>
            <w:r>
              <w:rPr>
                <w:rFonts w:ascii="Calibri" w:hAnsi="Calibri"/>
                <w:b w:val="0"/>
                <w:i w:val="0"/>
                <w:color w:val="111111"/>
                <w:sz w:val="16"/>
              </w:rPr>
              <w:t>Match operations</w:t>
            </w:r>
          </w:p>
        </w:tc>
        <w:tc>
          <w:tcPr>
            <w:tcW w:type="dxa" w:w="4300"/>
          </w:tcPr>
          <w:p>
            <w:pPr>
              <w:spacing w:after="0" w:line="252" w:lineRule="auto"/>
            </w:pPr>
            <w:r>
              <w:rPr>
                <w:rFonts w:ascii="Calibri" w:hAnsi="Calibri"/>
                <w:b w:val="0"/>
                <w:i w:val="0"/>
                <w:color w:val="111111"/>
                <w:sz w:val="16"/>
              </w:rPr>
              <w:t>lineMatches, scheduleProposals, scoreSubmissions, scoreDecisions</w:t>
            </w:r>
          </w:p>
        </w:tc>
        <w:tc>
          <w:tcPr>
            <w:tcW w:type="dxa" w:w="3260"/>
          </w:tcPr>
          <w:p>
            <w:pPr>
              <w:spacing w:after="0" w:line="252" w:lineRule="auto"/>
            </w:pPr>
            <w:r>
              <w:rPr>
                <w:rFonts w:ascii="Calibri" w:hAnsi="Calibri"/>
                <w:b w:val="0"/>
                <w:i w:val="0"/>
                <w:color w:val="111111"/>
                <w:sz w:val="16"/>
              </w:rPr>
              <w:t>Line scheduling and scoring</w:t>
            </w:r>
          </w:p>
        </w:tc>
      </w:tr>
      <w:tr>
        <w:tc>
          <w:tcPr>
            <w:tcW w:type="dxa" w:w="1800"/>
          </w:tcPr>
          <w:p>
            <w:pPr>
              <w:spacing w:after="0" w:line="252" w:lineRule="auto"/>
            </w:pPr>
            <w:r>
              <w:rPr>
                <w:rFonts w:ascii="Calibri" w:hAnsi="Calibri"/>
                <w:b w:val="0"/>
                <w:i w:val="0"/>
                <w:color w:val="111111"/>
                <w:sz w:val="16"/>
              </w:rPr>
              <w:t>League operations</w:t>
            </w:r>
          </w:p>
        </w:tc>
        <w:tc>
          <w:tcPr>
            <w:tcW w:type="dxa" w:w="4300"/>
          </w:tcPr>
          <w:p>
            <w:pPr>
              <w:spacing w:after="0" w:line="252" w:lineRule="auto"/>
            </w:pPr>
            <w:r>
              <w:rPr>
                <w:rFonts w:ascii="Calibri" w:hAnsi="Calibri"/>
                <w:b w:val="0"/>
                <w:i w:val="0"/>
                <w:color w:val="111111"/>
                <w:sz w:val="16"/>
              </w:rPr>
              <w:t>availability, replacementRequests, latePassRequests, adjustments</w:t>
            </w:r>
          </w:p>
        </w:tc>
        <w:tc>
          <w:tcPr>
            <w:tcW w:type="dxa" w:w="3260"/>
          </w:tcPr>
          <w:p>
            <w:pPr>
              <w:spacing w:after="0" w:line="252" w:lineRule="auto"/>
            </w:pPr>
            <w:r>
              <w:rPr>
                <w:rFonts w:ascii="Calibri" w:hAnsi="Calibri"/>
                <w:b w:val="0"/>
                <w:i w:val="0"/>
                <w:color w:val="111111"/>
                <w:sz w:val="16"/>
              </w:rPr>
              <w:t>Supporting workflows</w:t>
            </w:r>
          </w:p>
        </w:tc>
      </w:tr>
      <w:tr>
        <w:tc>
          <w:tcPr>
            <w:tcW w:type="dxa" w:w="1800"/>
          </w:tcPr>
          <w:p>
            <w:pPr>
              <w:spacing w:after="0" w:line="252" w:lineRule="auto"/>
            </w:pPr>
            <w:r>
              <w:rPr>
                <w:rFonts w:ascii="Calibri" w:hAnsi="Calibri"/>
                <w:b w:val="0"/>
                <w:i w:val="0"/>
                <w:color w:val="111111"/>
                <w:sz w:val="16"/>
              </w:rPr>
              <w:t>Results</w:t>
            </w:r>
          </w:p>
        </w:tc>
        <w:tc>
          <w:tcPr>
            <w:tcW w:type="dxa" w:w="4300"/>
          </w:tcPr>
          <w:p>
            <w:pPr>
              <w:spacing w:after="0" w:line="252" w:lineRule="auto"/>
            </w:pPr>
            <w:r>
              <w:rPr>
                <w:rFonts w:ascii="Calibri" w:hAnsi="Calibri"/>
                <w:b w:val="0"/>
                <w:i w:val="0"/>
                <w:color w:val="111111"/>
                <w:sz w:val="16"/>
              </w:rPr>
              <w:t>standings, standingsSnapshots, playoffBrackets</w:t>
            </w:r>
          </w:p>
        </w:tc>
        <w:tc>
          <w:tcPr>
            <w:tcW w:type="dxa" w:w="3260"/>
          </w:tcPr>
          <w:p>
            <w:pPr>
              <w:spacing w:after="0" w:line="252" w:lineRule="auto"/>
            </w:pPr>
            <w:r>
              <w:rPr>
                <w:rFonts w:ascii="Calibri" w:hAnsi="Calibri"/>
                <w:b w:val="0"/>
                <w:i w:val="0"/>
                <w:color w:val="111111"/>
                <w:sz w:val="16"/>
              </w:rPr>
              <w:t>Calculated/public competition results</w:t>
            </w:r>
          </w:p>
        </w:tc>
      </w:tr>
      <w:tr>
        <w:tc>
          <w:tcPr>
            <w:tcW w:type="dxa" w:w="1800"/>
          </w:tcPr>
          <w:p>
            <w:pPr>
              <w:spacing w:after="0" w:line="252" w:lineRule="auto"/>
            </w:pPr>
            <w:r>
              <w:rPr>
                <w:rFonts w:ascii="Calibri" w:hAnsi="Calibri"/>
                <w:b w:val="0"/>
                <w:i w:val="0"/>
                <w:color w:val="111111"/>
                <w:sz w:val="16"/>
              </w:rPr>
              <w:t>Audit/notification</w:t>
            </w:r>
          </w:p>
        </w:tc>
        <w:tc>
          <w:tcPr>
            <w:tcW w:type="dxa" w:w="4300"/>
          </w:tcPr>
          <w:p>
            <w:pPr>
              <w:spacing w:after="0" w:line="252" w:lineRule="auto"/>
            </w:pPr>
            <w:r>
              <w:rPr>
                <w:rFonts w:ascii="Calibri" w:hAnsi="Calibri"/>
                <w:b w:val="0"/>
                <w:i w:val="0"/>
                <w:color w:val="111111"/>
                <w:sz w:val="16"/>
              </w:rPr>
              <w:t>auditEvents, users/{uid}/notifications</w:t>
            </w:r>
          </w:p>
        </w:tc>
        <w:tc>
          <w:tcPr>
            <w:tcW w:type="dxa" w:w="3260"/>
          </w:tcPr>
          <w:p>
            <w:pPr>
              <w:spacing w:after="0" w:line="252" w:lineRule="auto"/>
            </w:pPr>
            <w:r>
              <w:rPr>
                <w:rFonts w:ascii="Calibri" w:hAnsi="Calibri"/>
                <w:b w:val="0"/>
                <w:i w:val="0"/>
                <w:color w:val="111111"/>
                <w:sz w:val="16"/>
              </w:rPr>
              <w:t>Operational trace and user messages</w:t>
            </w:r>
          </w:p>
        </w:tc>
      </w:tr>
    </w:tbl>
    <w:p>
      <w:pPr>
        <w:spacing w:after="40"/>
      </w:pPr>
    </w:p>
    <w:p>
      <w:pPr>
        <w:pStyle w:val="Heading2"/>
        <w:keepNext/>
      </w:pPr>
      <w:r>
        <w:t>7.2 Identifier strategy</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Identifier</w:t>
            </w:r>
          </w:p>
        </w:tc>
        <w:tc>
          <w:tcPr>
            <w:tcW w:type="dxa" w:w="706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Use</w:t>
            </w:r>
          </w:p>
        </w:tc>
      </w:tr>
      <w:tr>
        <w:tc>
          <w:tcPr>
            <w:tcW w:type="dxa" w:w="2300"/>
          </w:tcPr>
          <w:p>
            <w:pPr>
              <w:spacing w:after="0" w:line="252" w:lineRule="auto"/>
            </w:pPr>
            <w:r>
              <w:rPr>
                <w:rFonts w:ascii="Calibri" w:hAnsi="Calibri"/>
                <w:b w:val="0"/>
                <w:i w:val="0"/>
                <w:color w:val="111111"/>
                <w:sz w:val="18"/>
              </w:rPr>
              <w:t>Firebase UID</w:t>
            </w:r>
          </w:p>
        </w:tc>
        <w:tc>
          <w:tcPr>
            <w:tcW w:type="dxa" w:w="7060"/>
          </w:tcPr>
          <w:p>
            <w:pPr>
              <w:spacing w:after="0" w:line="252" w:lineRule="auto"/>
            </w:pPr>
            <w:r>
              <w:rPr>
                <w:rFonts w:ascii="Calibri" w:hAnsi="Calibri"/>
                <w:b w:val="0"/>
                <w:i w:val="0"/>
                <w:color w:val="111111"/>
                <w:sz w:val="18"/>
              </w:rPr>
              <w:t>Authentication account and role assignment</w:t>
            </w:r>
          </w:p>
        </w:tc>
      </w:tr>
      <w:tr>
        <w:tc>
          <w:tcPr>
            <w:tcW w:type="dxa" w:w="2300"/>
          </w:tcPr>
          <w:p>
            <w:pPr>
              <w:spacing w:after="0" w:line="252" w:lineRule="auto"/>
            </w:pPr>
            <w:r>
              <w:rPr>
                <w:rFonts w:ascii="Calibri" w:hAnsi="Calibri"/>
                <w:b w:val="0"/>
                <w:i w:val="0"/>
                <w:color w:val="111111"/>
                <w:sz w:val="18"/>
              </w:rPr>
              <w:t>Player ID</w:t>
            </w:r>
          </w:p>
        </w:tc>
        <w:tc>
          <w:tcPr>
            <w:tcW w:type="dxa" w:w="7060"/>
          </w:tcPr>
          <w:p>
            <w:pPr>
              <w:spacing w:after="0" w:line="252" w:lineRule="auto"/>
            </w:pPr>
            <w:r>
              <w:rPr>
                <w:rFonts w:ascii="Calibri" w:hAnsi="Calibri"/>
                <w:b w:val="0"/>
                <w:i w:val="0"/>
                <w:color w:val="111111"/>
                <w:sz w:val="18"/>
              </w:rPr>
              <w:t>Permanent person identity and historical linkage</w:t>
            </w:r>
          </w:p>
        </w:tc>
      </w:tr>
      <w:tr>
        <w:tc>
          <w:tcPr>
            <w:tcW w:type="dxa" w:w="2300"/>
          </w:tcPr>
          <w:p>
            <w:pPr>
              <w:spacing w:after="0" w:line="252" w:lineRule="auto"/>
            </w:pPr>
            <w:r>
              <w:rPr>
                <w:rFonts w:ascii="Calibri" w:hAnsi="Calibri"/>
                <w:b w:val="0"/>
                <w:i w:val="0"/>
                <w:color w:val="111111"/>
                <w:sz w:val="18"/>
              </w:rPr>
              <w:t>Season ID</w:t>
            </w:r>
          </w:p>
        </w:tc>
        <w:tc>
          <w:tcPr>
            <w:tcW w:type="dxa" w:w="7060"/>
          </w:tcPr>
          <w:p>
            <w:pPr>
              <w:spacing w:after="0" w:line="252" w:lineRule="auto"/>
            </w:pPr>
            <w:r>
              <w:rPr>
                <w:rFonts w:ascii="Calibri" w:hAnsi="Calibri"/>
                <w:b w:val="0"/>
                <w:i w:val="0"/>
                <w:color w:val="111111"/>
                <w:sz w:val="18"/>
              </w:rPr>
              <w:t>Partition key for competition operations</w:t>
            </w:r>
          </w:p>
        </w:tc>
      </w:tr>
      <w:tr>
        <w:tc>
          <w:tcPr>
            <w:tcW w:type="dxa" w:w="2300"/>
          </w:tcPr>
          <w:p>
            <w:pPr>
              <w:spacing w:after="0" w:line="252" w:lineRule="auto"/>
            </w:pPr>
            <w:r>
              <w:rPr>
                <w:rFonts w:ascii="Calibri" w:hAnsi="Calibri"/>
                <w:b w:val="0"/>
                <w:i w:val="0"/>
                <w:color w:val="111111"/>
                <w:sz w:val="18"/>
              </w:rPr>
              <w:t>Team ID</w:t>
            </w:r>
          </w:p>
        </w:tc>
        <w:tc>
          <w:tcPr>
            <w:tcW w:type="dxa" w:w="7060"/>
          </w:tcPr>
          <w:p>
            <w:pPr>
              <w:spacing w:after="0" w:line="252" w:lineRule="auto"/>
            </w:pPr>
            <w:r>
              <w:rPr>
                <w:rFonts w:ascii="Calibri" w:hAnsi="Calibri"/>
                <w:b w:val="0"/>
                <w:i w:val="0"/>
                <w:color w:val="111111"/>
                <w:sz w:val="18"/>
              </w:rPr>
              <w:t>Season team identity</w:t>
            </w:r>
          </w:p>
        </w:tc>
      </w:tr>
      <w:tr>
        <w:tc>
          <w:tcPr>
            <w:tcW w:type="dxa" w:w="2300"/>
          </w:tcPr>
          <w:p>
            <w:pPr>
              <w:spacing w:after="0" w:line="252" w:lineRule="auto"/>
            </w:pPr>
            <w:r>
              <w:rPr>
                <w:rFonts w:ascii="Calibri" w:hAnsi="Calibri"/>
                <w:b w:val="0"/>
                <w:i w:val="0"/>
                <w:color w:val="111111"/>
                <w:sz w:val="18"/>
              </w:rPr>
              <w:t>Assignment ID</w:t>
            </w:r>
          </w:p>
        </w:tc>
        <w:tc>
          <w:tcPr>
            <w:tcW w:type="dxa" w:w="7060"/>
          </w:tcPr>
          <w:p>
            <w:pPr>
              <w:spacing w:after="0" w:line="252" w:lineRule="auto"/>
            </w:pPr>
            <w:r>
              <w:rPr>
                <w:rFonts w:ascii="Calibri" w:hAnsi="Calibri"/>
                <w:b w:val="0"/>
                <w:i w:val="0"/>
                <w:color w:val="111111"/>
                <w:sz w:val="18"/>
              </w:rPr>
              <w:t>Immutable roster assignment interval</w:t>
            </w:r>
          </w:p>
        </w:tc>
      </w:tr>
      <w:tr>
        <w:tc>
          <w:tcPr>
            <w:tcW w:type="dxa" w:w="2300"/>
          </w:tcPr>
          <w:p>
            <w:pPr>
              <w:spacing w:after="0" w:line="252" w:lineRule="auto"/>
            </w:pPr>
            <w:r>
              <w:rPr>
                <w:rFonts w:ascii="Calibri" w:hAnsi="Calibri"/>
                <w:b w:val="0"/>
                <w:i w:val="0"/>
                <w:color w:val="111111"/>
                <w:sz w:val="18"/>
              </w:rPr>
              <w:t>Matchup ID</w:t>
            </w:r>
          </w:p>
        </w:tc>
        <w:tc>
          <w:tcPr>
            <w:tcW w:type="dxa" w:w="7060"/>
          </w:tcPr>
          <w:p>
            <w:pPr>
              <w:spacing w:after="0" w:line="252" w:lineRule="auto"/>
            </w:pPr>
            <w:r>
              <w:rPr>
                <w:rFonts w:ascii="Calibri" w:hAnsi="Calibri"/>
                <w:b w:val="0"/>
                <w:i w:val="0"/>
                <w:color w:val="111111"/>
                <w:sz w:val="18"/>
              </w:rPr>
              <w:t>Home-versus-Away team event</w:t>
            </w:r>
          </w:p>
        </w:tc>
      </w:tr>
      <w:tr>
        <w:tc>
          <w:tcPr>
            <w:tcW w:type="dxa" w:w="2300"/>
          </w:tcPr>
          <w:p>
            <w:pPr>
              <w:spacing w:after="0" w:line="252" w:lineRule="auto"/>
            </w:pPr>
            <w:r>
              <w:rPr>
                <w:rFonts w:ascii="Calibri" w:hAnsi="Calibri"/>
                <w:b w:val="0"/>
                <w:i w:val="0"/>
                <w:color w:val="111111"/>
                <w:sz w:val="18"/>
              </w:rPr>
              <w:t>Line match ID</w:t>
            </w:r>
          </w:p>
        </w:tc>
        <w:tc>
          <w:tcPr>
            <w:tcW w:type="dxa" w:w="7060"/>
          </w:tcPr>
          <w:p>
            <w:pPr>
              <w:spacing w:after="0" w:line="252" w:lineRule="auto"/>
            </w:pPr>
            <w:r>
              <w:rPr>
                <w:rFonts w:ascii="Calibri" w:hAnsi="Calibri"/>
                <w:b w:val="0"/>
                <w:i w:val="0"/>
                <w:color w:val="111111"/>
                <w:sz w:val="18"/>
              </w:rPr>
              <w:t>Matchup plus line number; normally {matchupId}-L1 through L5</w:t>
            </w:r>
          </w:p>
        </w:tc>
      </w:tr>
      <w:tr>
        <w:tc>
          <w:tcPr>
            <w:tcW w:type="dxa" w:w="2300"/>
          </w:tcPr>
          <w:p>
            <w:pPr>
              <w:spacing w:after="0" w:line="252" w:lineRule="auto"/>
            </w:pPr>
            <w:r>
              <w:rPr>
                <w:rFonts w:ascii="Calibri" w:hAnsi="Calibri"/>
                <w:b w:val="0"/>
                <w:i w:val="0"/>
                <w:color w:val="111111"/>
                <w:sz w:val="18"/>
              </w:rPr>
              <w:t>Operation ID</w:t>
            </w:r>
          </w:p>
        </w:tc>
        <w:tc>
          <w:tcPr>
            <w:tcW w:type="dxa" w:w="7060"/>
          </w:tcPr>
          <w:p>
            <w:pPr>
              <w:spacing w:after="0" w:line="252" w:lineRule="auto"/>
            </w:pPr>
            <w:r>
              <w:rPr>
                <w:rFonts w:ascii="Calibri" w:hAnsi="Calibri"/>
                <w:b w:val="0"/>
                <w:i w:val="0"/>
                <w:color w:val="111111"/>
                <w:sz w:val="18"/>
              </w:rPr>
              <w:t>Client-generated idempotency key for lineup action</w:t>
            </w:r>
          </w:p>
        </w:tc>
      </w:tr>
      <w:tr>
        <w:tc>
          <w:tcPr>
            <w:tcW w:type="dxa" w:w="2300"/>
          </w:tcPr>
          <w:p>
            <w:pPr>
              <w:spacing w:after="0" w:line="252" w:lineRule="auto"/>
            </w:pPr>
            <w:r>
              <w:rPr>
                <w:rFonts w:ascii="Calibri" w:hAnsi="Calibri"/>
                <w:b w:val="0"/>
                <w:i w:val="0"/>
                <w:color w:val="111111"/>
                <w:sz w:val="18"/>
              </w:rPr>
              <w:t>Revision number</w:t>
            </w:r>
          </w:p>
        </w:tc>
        <w:tc>
          <w:tcPr>
            <w:tcW w:type="dxa" w:w="7060"/>
          </w:tcPr>
          <w:p>
            <w:pPr>
              <w:spacing w:after="0" w:line="252" w:lineRule="auto"/>
            </w:pPr>
            <w:r>
              <w:rPr>
                <w:rFonts w:ascii="Calibri" w:hAnsi="Calibri"/>
                <w:b w:val="0"/>
                <w:i w:val="0"/>
                <w:color w:val="111111"/>
                <w:sz w:val="18"/>
              </w:rPr>
              <w:t>Monotonic lineup submission version within team/matchup</w:t>
            </w:r>
          </w:p>
        </w:tc>
      </w:tr>
    </w:tbl>
    <w:p>
      <w:pPr>
        <w:spacing w:after="40"/>
      </w:pPr>
    </w:p>
    <w:p>
      <w:pPr>
        <w:pStyle w:val="Heading2"/>
        <w:keepNext/>
      </w:pPr>
      <w:r>
        <w:t>7.3 Public/private partitioning</w:t>
      </w:r>
    </w:p>
    <w:p>
      <w:pPr/>
      <w:r>
        <w:rPr>
          <w:rFonts w:ascii="Calibri" w:hAnsi="Calibri"/>
          <w:b w:val="0"/>
          <w:i w:val="0"/>
          <w:color w:val="111111"/>
          <w:sz w:val="22"/>
        </w:rPr>
        <w:t>Public pages must read only explicitly published fields. Operational season documents include member UIDs, internal status, lineup workflow state, and administrative metadata. Personally identifiable information is split into private collections. Official records carry display-name snapshots for historical readability without requiring broad access to private master records.</w:t>
      </w:r>
    </w:p>
    <w:tbl>
      <w:tblPr>
        <w:tblW w:type="dxa" w:w="9360"/>
        <w:jc w:val="left"/>
        <w:tblLayout w:type="fixed"/>
        <w:tblLook w:firstColumn="1" w:firstRow="1" w:lastColumn="0" w:lastRow="0" w:noHBand="0" w:noVBand="1" w:val="04A0"/>
        <w:tblInd w:w="120" w:type="dxa"/>
        <w:tblBorders>
          <w:top w:val="single" w:sz="4" w:space="0" w:color="E8EEF5"/>
          <w:left w:val="single" w:sz="4" w:space="0" w:color="E8EEF5"/>
          <w:bottom w:val="single" w:sz="4" w:space="0" w:color="E8EEF5"/>
          <w:right w:val="single" w:sz="4" w:space="0" w:color="E8EEF5"/>
          <w:insideH w:val="single" w:sz="4" w:space="0" w:color="E8EEF5"/>
          <w:insideV w:val="single" w:sz="4" w:space="0" w:color="E8EEF5"/>
        </w:tblBorders>
      </w:tblPr>
      <w:tblGrid>
        <w:gridCol w:w="9360"/>
      </w:tblGrid>
      <w:tr>
        <w:tc>
          <w:tcPr>
            <w:tcW w:type="dxa" w:w="9360"/>
            <w:tcMar>
              <w:top w:w="80" w:type="dxa"/>
              <w:start w:w="120" w:type="dxa"/>
              <w:bottom w:w="80" w:type="dxa"/>
              <w:end w:w="120" w:type="dxa"/>
            </w:tcMar>
            <w:vAlign w:val="center"/>
            <w:shd w:fill="E8EEF5"/>
          </w:tcPr>
          <w:p>
            <w:pPr>
              <w:spacing w:after="0"/>
            </w:pPr>
            <w:r>
              <w:rPr>
                <w:rFonts w:ascii="Calibri" w:hAnsi="Calibri"/>
                <w:b/>
                <w:i w:val="0"/>
                <w:color w:val="0B2545"/>
                <w:sz w:val="22"/>
              </w:rPr>
              <w:t xml:space="preserve">Data-governance note: </w:t>
            </w:r>
            <w:r>
              <w:rPr>
                <w:rFonts w:ascii="Calibri" w:hAnsi="Calibri"/>
                <w:b w:val="0"/>
                <w:i w:val="0"/>
                <w:color w:val="111111"/>
                <w:sz w:val="22"/>
              </w:rPr>
              <w:t>Snapshot fields are intentionally denormalized. They preserve historical meaning but require defined correction procedures when an official record is wrong; changing the Player Master must not silently rewrite history.</w:t>
            </w:r>
          </w:p>
        </w:tc>
      </w:tr>
    </w:tbl>
    <w:p>
      <w:pPr>
        <w:spacing w:after="40"/>
      </w:pPr>
    </w:p>
    <w:p>
      <w:pPr>
        <w:pStyle w:val="Heading1"/>
        <w:keepNext/>
      </w:pPr>
      <w:r>
        <w:t>8. Core schema design</w:t>
      </w:r>
    </w:p>
    <w:p>
      <w:pPr>
        <w:pStyle w:val="Heading2"/>
        <w:keepNext/>
      </w:pPr>
      <w:r>
        <w:t>8.1 Identity and master data</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500"/>
        <w:gridCol w:w="4650"/>
        <w:gridCol w:w="2210"/>
      </w:tblGrid>
      <w:tr>
        <w:trPr>
          <w:tblHeader w:val="true"/>
        </w:trPr>
        <w:tc>
          <w:tcPr>
            <w:tcW w:type="dxa" w:w="25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Document</w:t>
            </w:r>
          </w:p>
        </w:tc>
        <w:tc>
          <w:tcPr>
            <w:tcW w:type="dxa" w:w="465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Key fields</w:t>
            </w:r>
          </w:p>
        </w:tc>
        <w:tc>
          <w:tcPr>
            <w:tcW w:type="dxa" w:w="221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Purpose</w:t>
            </w:r>
          </w:p>
        </w:tc>
      </w:tr>
      <w:tr>
        <w:tc>
          <w:tcPr>
            <w:tcW w:type="dxa" w:w="2500"/>
          </w:tcPr>
          <w:p>
            <w:pPr>
              <w:spacing w:after="0" w:line="252" w:lineRule="auto"/>
            </w:pPr>
            <w:r>
              <w:rPr>
                <w:rFonts w:ascii="Calibri" w:hAnsi="Calibri"/>
                <w:b w:val="0"/>
                <w:i w:val="0"/>
                <w:color w:val="111111"/>
                <w:sz w:val="15"/>
              </w:rPr>
              <w:t>users/{uid}</w:t>
            </w:r>
          </w:p>
        </w:tc>
        <w:tc>
          <w:tcPr>
            <w:tcW w:type="dxa" w:w="4650"/>
          </w:tcPr>
          <w:p>
            <w:pPr>
              <w:spacing w:after="0" w:line="252" w:lineRule="auto"/>
            </w:pPr>
            <w:r>
              <w:rPr>
                <w:rFonts w:ascii="Calibri" w:hAnsi="Calibri"/>
                <w:b w:val="0"/>
                <w:i w:val="0"/>
                <w:color w:val="111111"/>
                <w:sz w:val="15"/>
              </w:rPr>
              <w:t>uid, email, status, profileType, playerId, globalRoles, displayName, lastLoginAt</w:t>
            </w:r>
          </w:p>
        </w:tc>
        <w:tc>
          <w:tcPr>
            <w:tcW w:type="dxa" w:w="2210"/>
          </w:tcPr>
          <w:p>
            <w:pPr>
              <w:spacing w:after="0" w:line="252" w:lineRule="auto"/>
            </w:pPr>
            <w:r>
              <w:rPr>
                <w:rFonts w:ascii="Calibri" w:hAnsi="Calibri"/>
                <w:b w:val="0"/>
                <w:i w:val="0"/>
                <w:color w:val="111111"/>
                <w:sz w:val="15"/>
              </w:rPr>
              <w:t>Account authorization and profile</w:t>
            </w:r>
          </w:p>
        </w:tc>
      </w:tr>
      <w:tr>
        <w:tc>
          <w:tcPr>
            <w:tcW w:type="dxa" w:w="2500"/>
          </w:tcPr>
          <w:p>
            <w:pPr>
              <w:spacing w:after="0" w:line="252" w:lineRule="auto"/>
            </w:pPr>
            <w:r>
              <w:rPr>
                <w:rFonts w:ascii="Calibri" w:hAnsi="Calibri"/>
                <w:b w:val="0"/>
                <w:i w:val="0"/>
                <w:color w:val="111111"/>
                <w:sz w:val="15"/>
              </w:rPr>
              <w:t>players/{playerId}</w:t>
            </w:r>
          </w:p>
        </w:tc>
        <w:tc>
          <w:tcPr>
            <w:tcW w:type="dxa" w:w="4650"/>
          </w:tcPr>
          <w:p>
            <w:pPr>
              <w:spacing w:after="0" w:line="252" w:lineRule="auto"/>
            </w:pPr>
            <w:r>
              <w:rPr>
                <w:rFonts w:ascii="Calibri" w:hAnsi="Calibri"/>
                <w:b w:val="0"/>
                <w:i w:val="0"/>
                <w:color w:val="111111"/>
                <w:sz w:val="15"/>
              </w:rPr>
              <w:t>displayName, public fields, active status</w:t>
            </w:r>
          </w:p>
        </w:tc>
        <w:tc>
          <w:tcPr>
            <w:tcW w:type="dxa" w:w="2210"/>
          </w:tcPr>
          <w:p>
            <w:pPr>
              <w:spacing w:after="0" w:line="252" w:lineRule="auto"/>
            </w:pPr>
            <w:r>
              <w:rPr>
                <w:rFonts w:ascii="Calibri" w:hAnsi="Calibri"/>
                <w:b w:val="0"/>
                <w:i w:val="0"/>
                <w:color w:val="111111"/>
                <w:sz w:val="15"/>
              </w:rPr>
              <w:t>Canonical public player identity</w:t>
            </w:r>
          </w:p>
        </w:tc>
      </w:tr>
      <w:tr>
        <w:tc>
          <w:tcPr>
            <w:tcW w:type="dxa" w:w="2500"/>
          </w:tcPr>
          <w:p>
            <w:pPr>
              <w:spacing w:after="0" w:line="252" w:lineRule="auto"/>
            </w:pPr>
            <w:r>
              <w:rPr>
                <w:rFonts w:ascii="Calibri" w:hAnsi="Calibri"/>
                <w:b w:val="0"/>
                <w:i w:val="0"/>
                <w:color w:val="111111"/>
                <w:sz w:val="15"/>
              </w:rPr>
              <w:t>playerPrivate/{playerId}</w:t>
            </w:r>
          </w:p>
        </w:tc>
        <w:tc>
          <w:tcPr>
            <w:tcW w:type="dxa" w:w="4650"/>
          </w:tcPr>
          <w:p>
            <w:pPr>
              <w:spacing w:after="0" w:line="252" w:lineRule="auto"/>
            </w:pPr>
            <w:r>
              <w:rPr>
                <w:rFonts w:ascii="Calibri" w:hAnsi="Calibri"/>
                <w:b w:val="0"/>
                <w:i w:val="0"/>
                <w:color w:val="111111"/>
                <w:sz w:val="15"/>
              </w:rPr>
              <w:t>emailNormalized, phone, private notes, status</w:t>
            </w:r>
          </w:p>
        </w:tc>
        <w:tc>
          <w:tcPr>
            <w:tcW w:type="dxa" w:w="2210"/>
          </w:tcPr>
          <w:p>
            <w:pPr>
              <w:spacing w:after="0" w:line="252" w:lineRule="auto"/>
            </w:pPr>
            <w:r>
              <w:rPr>
                <w:rFonts w:ascii="Calibri" w:hAnsi="Calibri"/>
                <w:b w:val="0"/>
                <w:i w:val="0"/>
                <w:color w:val="111111"/>
                <w:sz w:val="15"/>
              </w:rPr>
              <w:t>Restricted PII and identity match</w:t>
            </w:r>
          </w:p>
        </w:tc>
      </w:tr>
      <w:tr>
        <w:tc>
          <w:tcPr>
            <w:tcW w:type="dxa" w:w="2500"/>
          </w:tcPr>
          <w:p>
            <w:pPr>
              <w:spacing w:after="0" w:line="252" w:lineRule="auto"/>
            </w:pPr>
            <w:r>
              <w:rPr>
                <w:rFonts w:ascii="Calibri" w:hAnsi="Calibri"/>
                <w:b w:val="0"/>
                <w:i w:val="0"/>
                <w:color w:val="111111"/>
                <w:sz w:val="15"/>
              </w:rPr>
              <w:t>playerAccountLinks/{playerId}</w:t>
            </w:r>
          </w:p>
        </w:tc>
        <w:tc>
          <w:tcPr>
            <w:tcW w:type="dxa" w:w="4650"/>
          </w:tcPr>
          <w:p>
            <w:pPr>
              <w:spacing w:after="0" w:line="252" w:lineRule="auto"/>
            </w:pPr>
            <w:r>
              <w:rPr>
                <w:rFonts w:ascii="Calibri" w:hAnsi="Calibri"/>
                <w:b w:val="0"/>
                <w:i w:val="0"/>
                <w:color w:val="111111"/>
                <w:sz w:val="15"/>
              </w:rPr>
              <w:t>uid, status, approval metadata, link method</w:t>
            </w:r>
          </w:p>
        </w:tc>
        <w:tc>
          <w:tcPr>
            <w:tcW w:type="dxa" w:w="2210"/>
          </w:tcPr>
          <w:p>
            <w:pPr>
              <w:spacing w:after="0" w:line="252" w:lineRule="auto"/>
            </w:pPr>
            <w:r>
              <w:rPr>
                <w:rFonts w:ascii="Calibri" w:hAnsi="Calibri"/>
                <w:b w:val="0"/>
                <w:i w:val="0"/>
                <w:color w:val="111111"/>
                <w:sz w:val="15"/>
              </w:rPr>
              <w:t>One-account-to-player link</w:t>
            </w:r>
          </w:p>
        </w:tc>
      </w:tr>
      <w:tr>
        <w:tc>
          <w:tcPr>
            <w:tcW w:type="dxa" w:w="2500"/>
          </w:tcPr>
          <w:p>
            <w:pPr>
              <w:spacing w:after="0" w:line="252" w:lineRule="auto"/>
            </w:pPr>
            <w:r>
              <w:rPr>
                <w:rFonts w:ascii="Calibri" w:hAnsi="Calibri"/>
                <w:b w:val="0"/>
                <w:i w:val="0"/>
                <w:color w:val="111111"/>
                <w:sz w:val="15"/>
              </w:rPr>
              <w:t>seasons/{seasonId}/members/{uid}</w:t>
            </w:r>
          </w:p>
        </w:tc>
        <w:tc>
          <w:tcPr>
            <w:tcW w:type="dxa" w:w="4650"/>
          </w:tcPr>
          <w:p>
            <w:pPr>
              <w:spacing w:after="0" w:line="252" w:lineRule="auto"/>
            </w:pPr>
            <w:r>
              <w:rPr>
                <w:rFonts w:ascii="Calibri" w:hAnsi="Calibri"/>
                <w:b w:val="0"/>
                <w:i w:val="0"/>
                <w:color w:val="111111"/>
                <w:sz w:val="15"/>
              </w:rPr>
              <w:t>roles, teamIds, playerId, status</w:t>
            </w:r>
          </w:p>
        </w:tc>
        <w:tc>
          <w:tcPr>
            <w:tcW w:type="dxa" w:w="2210"/>
          </w:tcPr>
          <w:p>
            <w:pPr>
              <w:spacing w:after="0" w:line="252" w:lineRule="auto"/>
            </w:pPr>
            <w:r>
              <w:rPr>
                <w:rFonts w:ascii="Calibri" w:hAnsi="Calibri"/>
                <w:b w:val="0"/>
                <w:i w:val="0"/>
                <w:color w:val="111111"/>
                <w:sz w:val="15"/>
              </w:rPr>
              <w:t>Season-scoped authorization</w:t>
            </w:r>
          </w:p>
        </w:tc>
      </w:tr>
      <w:tr>
        <w:tc>
          <w:tcPr>
            <w:tcW w:type="dxa" w:w="2500"/>
          </w:tcPr>
          <w:p>
            <w:pPr>
              <w:spacing w:after="0" w:line="252" w:lineRule="auto"/>
            </w:pPr>
            <w:r>
              <w:rPr>
                <w:rFonts w:ascii="Calibri" w:hAnsi="Calibri"/>
                <w:b w:val="0"/>
                <w:i w:val="0"/>
                <w:color w:val="111111"/>
                <w:sz w:val="15"/>
              </w:rPr>
              <w:t>teams/{teamId}</w:t>
            </w:r>
          </w:p>
        </w:tc>
        <w:tc>
          <w:tcPr>
            <w:tcW w:type="dxa" w:w="4650"/>
          </w:tcPr>
          <w:p>
            <w:pPr>
              <w:spacing w:after="0" w:line="252" w:lineRule="auto"/>
            </w:pPr>
            <w:r>
              <w:rPr>
                <w:rFonts w:ascii="Calibri" w:hAnsi="Calibri"/>
                <w:b w:val="0"/>
                <w:i w:val="0"/>
                <w:color w:val="111111"/>
                <w:sz w:val="15"/>
              </w:rPr>
              <w:t>name, captainUids, captainPlayerIds, status</w:t>
            </w:r>
          </w:p>
        </w:tc>
        <w:tc>
          <w:tcPr>
            <w:tcW w:type="dxa" w:w="2210"/>
          </w:tcPr>
          <w:p>
            <w:pPr>
              <w:spacing w:after="0" w:line="252" w:lineRule="auto"/>
            </w:pPr>
            <w:r>
              <w:rPr>
                <w:rFonts w:ascii="Calibri" w:hAnsi="Calibri"/>
                <w:b w:val="0"/>
                <w:i w:val="0"/>
                <w:color w:val="111111"/>
                <w:sz w:val="15"/>
              </w:rPr>
              <w:t>Season team master</w:t>
            </w:r>
          </w:p>
        </w:tc>
      </w:tr>
      <w:tr>
        <w:tc>
          <w:tcPr>
            <w:tcW w:type="dxa" w:w="2500"/>
          </w:tcPr>
          <w:p>
            <w:pPr>
              <w:spacing w:after="0" w:line="252" w:lineRule="auto"/>
            </w:pPr>
            <w:r>
              <w:rPr>
                <w:rFonts w:ascii="Calibri" w:hAnsi="Calibri"/>
                <w:b w:val="0"/>
                <w:i w:val="0"/>
                <w:color w:val="111111"/>
                <w:sz w:val="15"/>
              </w:rPr>
              <w:t>rosterSlots/{team_rank}</w:t>
            </w:r>
          </w:p>
        </w:tc>
        <w:tc>
          <w:tcPr>
            <w:tcW w:type="dxa" w:w="4650"/>
          </w:tcPr>
          <w:p>
            <w:pPr>
              <w:spacing w:after="0" w:line="252" w:lineRule="auto"/>
            </w:pPr>
            <w:r>
              <w:rPr>
                <w:rFonts w:ascii="Calibri" w:hAnsi="Calibri"/>
                <w:b w:val="0"/>
                <w:i w:val="0"/>
                <w:color w:val="111111"/>
                <w:sz w:val="15"/>
              </w:rPr>
              <w:t>teamId, rankNumber, participation counters</w:t>
            </w:r>
          </w:p>
        </w:tc>
        <w:tc>
          <w:tcPr>
            <w:tcW w:type="dxa" w:w="2210"/>
          </w:tcPr>
          <w:p>
            <w:pPr>
              <w:spacing w:after="0" w:line="252" w:lineRule="auto"/>
            </w:pPr>
            <w:r>
              <w:rPr>
                <w:rFonts w:ascii="Calibri" w:hAnsi="Calibri"/>
                <w:b w:val="0"/>
                <w:i w:val="0"/>
                <w:color w:val="111111"/>
                <w:sz w:val="15"/>
              </w:rPr>
              <w:t>Persistent team-rank slot</w:t>
            </w:r>
          </w:p>
        </w:tc>
      </w:tr>
      <w:tr>
        <w:tc>
          <w:tcPr>
            <w:tcW w:type="dxa" w:w="2500"/>
          </w:tcPr>
          <w:p>
            <w:pPr>
              <w:spacing w:after="0" w:line="252" w:lineRule="auto"/>
            </w:pPr>
            <w:r>
              <w:rPr>
                <w:rFonts w:ascii="Calibri" w:hAnsi="Calibri"/>
                <w:b w:val="0"/>
                <w:i w:val="0"/>
                <w:color w:val="111111"/>
                <w:sz w:val="15"/>
              </w:rPr>
              <w:t>rosterAssignments/{assignmentId}</w:t>
            </w:r>
          </w:p>
        </w:tc>
        <w:tc>
          <w:tcPr>
            <w:tcW w:type="dxa" w:w="4650"/>
          </w:tcPr>
          <w:p>
            <w:pPr>
              <w:spacing w:after="0" w:line="252" w:lineRule="auto"/>
            </w:pPr>
            <w:r>
              <w:rPr>
                <w:rFonts w:ascii="Calibri" w:hAnsi="Calibri"/>
                <w:b w:val="0"/>
                <w:i w:val="0"/>
                <w:color w:val="111111"/>
                <w:sz w:val="15"/>
              </w:rPr>
              <w:t>teamId, rankNumber, playerId, type, dates, eligibility, status</w:t>
            </w:r>
          </w:p>
        </w:tc>
        <w:tc>
          <w:tcPr>
            <w:tcW w:type="dxa" w:w="2210"/>
          </w:tcPr>
          <w:p>
            <w:pPr>
              <w:spacing w:after="0" w:line="252" w:lineRule="auto"/>
            </w:pPr>
            <w:r>
              <w:rPr>
                <w:rFonts w:ascii="Calibri" w:hAnsi="Calibri"/>
                <w:b w:val="0"/>
                <w:i w:val="0"/>
                <w:color w:val="111111"/>
                <w:sz w:val="15"/>
              </w:rPr>
              <w:t>Effective-dated player assignment</w:t>
            </w:r>
          </w:p>
        </w:tc>
      </w:tr>
    </w:tbl>
    <w:p>
      <w:pPr>
        <w:spacing w:after="40"/>
      </w:pPr>
    </w:p>
    <w:p>
      <w:pPr>
        <w:pStyle w:val="Heading2"/>
        <w:keepNext/>
      </w:pPr>
      <w:r>
        <w:t>8.2 Matchup master</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400"/>
        <w:gridCol w:w="6960"/>
      </w:tblGrid>
      <w:tr>
        <w:trPr>
          <w:tblHeader w:val="true"/>
        </w:trPr>
        <w:tc>
          <w:tcPr>
            <w:tcW w:type="dxa" w:w="24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Field group</w:t>
            </w:r>
          </w:p>
        </w:tc>
        <w:tc>
          <w:tcPr>
            <w:tcW w:type="dxa" w:w="69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Fields</w:t>
            </w:r>
          </w:p>
        </w:tc>
      </w:tr>
      <w:tr>
        <w:tc>
          <w:tcPr>
            <w:tcW w:type="dxa" w:w="2400"/>
          </w:tcPr>
          <w:p>
            <w:pPr>
              <w:spacing w:after="0" w:line="252" w:lineRule="auto"/>
            </w:pPr>
            <w:r>
              <w:rPr>
                <w:rFonts w:ascii="Calibri" w:hAnsi="Calibri"/>
                <w:b w:val="0"/>
                <w:i w:val="0"/>
                <w:color w:val="111111"/>
                <w:sz w:val="17"/>
              </w:rPr>
              <w:t>Identity</w:t>
            </w:r>
          </w:p>
        </w:tc>
        <w:tc>
          <w:tcPr>
            <w:tcW w:type="dxa" w:w="6960"/>
          </w:tcPr>
          <w:p>
            <w:pPr>
              <w:spacing w:after="0" w:line="252" w:lineRule="auto"/>
            </w:pPr>
            <w:r>
              <w:rPr>
                <w:rFonts w:ascii="Calibri" w:hAnsi="Calibri"/>
                <w:b w:val="0"/>
                <w:i w:val="0"/>
                <w:color w:val="111111"/>
                <w:sz w:val="17"/>
              </w:rPr>
              <w:t>matchupId, weekId, stage, homeTeamId, awayTeamId</w:t>
            </w:r>
          </w:p>
        </w:tc>
      </w:tr>
      <w:tr>
        <w:tc>
          <w:tcPr>
            <w:tcW w:type="dxa" w:w="2400"/>
          </w:tcPr>
          <w:p>
            <w:pPr>
              <w:spacing w:after="0" w:line="252" w:lineRule="auto"/>
            </w:pPr>
            <w:r>
              <w:rPr>
                <w:rFonts w:ascii="Calibri" w:hAnsi="Calibri"/>
                <w:b w:val="0"/>
                <w:i w:val="0"/>
                <w:color w:val="111111"/>
                <w:sz w:val="17"/>
              </w:rPr>
              <w:t>Authorization snapshots</w:t>
            </w:r>
          </w:p>
        </w:tc>
        <w:tc>
          <w:tcPr>
            <w:tcW w:type="dxa" w:w="6960"/>
          </w:tcPr>
          <w:p>
            <w:pPr>
              <w:spacing w:after="0" w:line="252" w:lineRule="auto"/>
            </w:pPr>
            <w:r>
              <w:rPr>
                <w:rFonts w:ascii="Calibri" w:hAnsi="Calibri"/>
                <w:b w:val="0"/>
                <w:i w:val="0"/>
                <w:color w:val="111111"/>
                <w:sz w:val="17"/>
              </w:rPr>
              <w:t>homeCaptainUids, awayCaptainUids, approverUids</w:t>
            </w:r>
          </w:p>
        </w:tc>
      </w:tr>
      <w:tr>
        <w:tc>
          <w:tcPr>
            <w:tcW w:type="dxa" w:w="2400"/>
          </w:tcPr>
          <w:p>
            <w:pPr>
              <w:spacing w:after="0" w:line="252" w:lineRule="auto"/>
            </w:pPr>
            <w:r>
              <w:rPr>
                <w:rFonts w:ascii="Calibri" w:hAnsi="Calibri"/>
                <w:b w:val="0"/>
                <w:i w:val="0"/>
                <w:color w:val="111111"/>
                <w:sz w:val="17"/>
              </w:rPr>
              <w:t>Team states</w:t>
            </w:r>
          </w:p>
        </w:tc>
        <w:tc>
          <w:tcPr>
            <w:tcW w:type="dxa" w:w="6960"/>
          </w:tcPr>
          <w:p>
            <w:pPr>
              <w:spacing w:after="0" w:line="252" w:lineRule="auto"/>
            </w:pPr>
            <w:r>
              <w:rPr>
                <w:rFonts w:ascii="Calibri" w:hAnsi="Calibri"/>
                <w:b w:val="0"/>
                <w:i w:val="0"/>
                <w:color w:val="111111"/>
                <w:sz w:val="17"/>
              </w:rPr>
              <w:t>homeLineupStatus, awayLineupStatus</w:t>
            </w:r>
          </w:p>
        </w:tc>
      </w:tr>
      <w:tr>
        <w:tc>
          <w:tcPr>
            <w:tcW w:type="dxa" w:w="2400"/>
          </w:tcPr>
          <w:p>
            <w:pPr>
              <w:spacing w:after="0" w:line="252" w:lineRule="auto"/>
            </w:pPr>
            <w:r>
              <w:rPr>
                <w:rFonts w:ascii="Calibri" w:hAnsi="Calibri"/>
                <w:b w:val="0"/>
                <w:i w:val="0"/>
                <w:color w:val="111111"/>
                <w:sz w:val="17"/>
              </w:rPr>
              <w:t>Overall state</w:t>
            </w:r>
          </w:p>
        </w:tc>
        <w:tc>
          <w:tcPr>
            <w:tcW w:type="dxa" w:w="6960"/>
          </w:tcPr>
          <w:p>
            <w:pPr>
              <w:spacing w:after="0" w:line="252" w:lineRule="auto"/>
            </w:pPr>
            <w:r>
              <w:rPr>
                <w:rFonts w:ascii="Calibri" w:hAnsi="Calibri"/>
                <w:b w:val="0"/>
                <w:i w:val="0"/>
                <w:color w:val="111111"/>
                <w:sz w:val="17"/>
              </w:rPr>
              <w:t>lineupApprovalStatus, bothLineupsSubmitted, lineupsPublished</w:t>
            </w:r>
          </w:p>
        </w:tc>
      </w:tr>
      <w:tr>
        <w:tc>
          <w:tcPr>
            <w:tcW w:type="dxa" w:w="2400"/>
          </w:tcPr>
          <w:p>
            <w:pPr>
              <w:spacing w:after="0" w:line="252" w:lineRule="auto"/>
            </w:pPr>
            <w:r>
              <w:rPr>
                <w:rFonts w:ascii="Calibri" w:hAnsi="Calibri"/>
                <w:b w:val="0"/>
                <w:i w:val="0"/>
                <w:color w:val="111111"/>
                <w:sz w:val="17"/>
              </w:rPr>
              <w:t>Revision pointers</w:t>
            </w:r>
          </w:p>
        </w:tc>
        <w:tc>
          <w:tcPr>
            <w:tcW w:type="dxa" w:w="6960"/>
          </w:tcPr>
          <w:p>
            <w:pPr>
              <w:spacing w:after="0" w:line="252" w:lineRule="auto"/>
            </w:pPr>
            <w:r>
              <w:rPr>
                <w:rFonts w:ascii="Calibri" w:hAnsi="Calibri"/>
                <w:b w:val="0"/>
                <w:i w:val="0"/>
                <w:color w:val="111111"/>
                <w:sz w:val="17"/>
              </w:rPr>
              <w:t>homeLineupRevisionNumber, awayLineupRevisionNumber</w:t>
            </w:r>
          </w:p>
        </w:tc>
      </w:tr>
      <w:tr>
        <w:tc>
          <w:tcPr>
            <w:tcW w:type="dxa" w:w="2400"/>
          </w:tcPr>
          <w:p>
            <w:pPr>
              <w:spacing w:after="0" w:line="252" w:lineRule="auto"/>
            </w:pPr>
            <w:r>
              <w:rPr>
                <w:rFonts w:ascii="Calibri" w:hAnsi="Calibri"/>
                <w:b w:val="0"/>
                <w:i w:val="0"/>
                <w:color w:val="111111"/>
                <w:sz w:val="17"/>
              </w:rPr>
              <w:t>Actor tracking</w:t>
            </w:r>
          </w:p>
        </w:tc>
        <w:tc>
          <w:tcPr>
            <w:tcW w:type="dxa" w:w="6960"/>
          </w:tcPr>
          <w:p>
            <w:pPr>
              <w:spacing w:after="0" w:line="252" w:lineRule="auto"/>
            </w:pPr>
            <w:r>
              <w:rPr>
                <w:rFonts w:ascii="Calibri" w:hAnsi="Calibri"/>
                <w:b w:val="0"/>
                <w:i w:val="0"/>
                <w:color w:val="111111"/>
                <w:sz w:val="17"/>
              </w:rPr>
              <w:t>homeLineupTracking, awayLineupTracking</w:t>
            </w:r>
          </w:p>
        </w:tc>
      </w:tr>
      <w:tr>
        <w:tc>
          <w:tcPr>
            <w:tcW w:type="dxa" w:w="2400"/>
          </w:tcPr>
          <w:p>
            <w:pPr>
              <w:spacing w:after="0" w:line="252" w:lineRule="auto"/>
            </w:pPr>
            <w:r>
              <w:rPr>
                <w:rFonts w:ascii="Calibri" w:hAnsi="Calibri"/>
                <w:b w:val="0"/>
                <w:i w:val="0"/>
                <w:color w:val="111111"/>
                <w:sz w:val="17"/>
              </w:rPr>
              <w:t>Publication</w:t>
            </w:r>
          </w:p>
        </w:tc>
        <w:tc>
          <w:tcPr>
            <w:tcW w:type="dxa" w:w="6960"/>
          </w:tcPr>
          <w:p>
            <w:pPr>
              <w:spacing w:after="0" w:line="252" w:lineRule="auto"/>
            </w:pPr>
            <w:r>
              <w:rPr>
                <w:rFonts w:ascii="Calibri" w:hAnsi="Calibri"/>
                <w:b w:val="0"/>
                <w:i w:val="0"/>
                <w:color w:val="111111"/>
                <w:sz w:val="17"/>
              </w:rPr>
              <w:t>fullyApprovedAt, lineupsPublishedAt</w:t>
            </w:r>
          </w:p>
        </w:tc>
      </w:tr>
      <w:tr>
        <w:tc>
          <w:tcPr>
            <w:tcW w:type="dxa" w:w="2400"/>
          </w:tcPr>
          <w:p>
            <w:pPr>
              <w:spacing w:after="0" w:line="252" w:lineRule="auto"/>
            </w:pPr>
            <w:r>
              <w:rPr>
                <w:rFonts w:ascii="Calibri" w:hAnsi="Calibri"/>
                <w:b w:val="0"/>
                <w:i w:val="0"/>
                <w:color w:val="111111"/>
                <w:sz w:val="17"/>
              </w:rPr>
              <w:t>Concurrency/security</w:t>
            </w:r>
          </w:p>
        </w:tc>
        <w:tc>
          <w:tcPr>
            <w:tcW w:type="dxa" w:w="6960"/>
          </w:tcPr>
          <w:p>
            <w:pPr>
              <w:spacing w:after="0" w:line="252" w:lineRule="auto"/>
            </w:pPr>
            <w:r>
              <w:rPr>
                <w:rFonts w:ascii="Calibri" w:hAnsi="Calibri"/>
                <w:b w:val="0"/>
                <w:i w:val="0"/>
                <w:color w:val="111111"/>
                <w:sz w:val="17"/>
              </w:rPr>
              <w:t>lineupWorkflowActorUid, lineupWorkflowOperationId</w:t>
            </w:r>
          </w:p>
        </w:tc>
      </w:tr>
      <w:tr>
        <w:tc>
          <w:tcPr>
            <w:tcW w:type="dxa" w:w="2400"/>
          </w:tcPr>
          <w:p>
            <w:pPr>
              <w:spacing w:after="0" w:line="252" w:lineRule="auto"/>
            </w:pPr>
            <w:r>
              <w:rPr>
                <w:rFonts w:ascii="Calibri" w:hAnsi="Calibri"/>
                <w:b w:val="0"/>
                <w:i w:val="0"/>
                <w:color w:val="111111"/>
                <w:sz w:val="17"/>
              </w:rPr>
              <w:t>Reset</w:t>
            </w:r>
          </w:p>
        </w:tc>
        <w:tc>
          <w:tcPr>
            <w:tcW w:type="dxa" w:w="6960"/>
          </w:tcPr>
          <w:p>
            <w:pPr>
              <w:spacing w:after="0" w:line="252" w:lineRule="auto"/>
            </w:pPr>
            <w:r>
              <w:rPr>
                <w:rFonts w:ascii="Calibri" w:hAnsi="Calibri"/>
                <w:b w:val="0"/>
                <w:i w:val="0"/>
                <w:color w:val="111111"/>
                <w:sz w:val="17"/>
              </w:rPr>
              <w:t>approvalCycleNumber, lastLineupReset</w:t>
            </w:r>
          </w:p>
        </w:tc>
      </w:tr>
      <w:tr>
        <w:tc>
          <w:tcPr>
            <w:tcW w:type="dxa" w:w="2400"/>
          </w:tcPr>
          <w:p>
            <w:pPr>
              <w:spacing w:after="0" w:line="252" w:lineRule="auto"/>
            </w:pPr>
            <w:r>
              <w:rPr>
                <w:rFonts w:ascii="Calibri" w:hAnsi="Calibri"/>
                <w:b w:val="0"/>
                <w:i w:val="0"/>
                <w:color w:val="111111"/>
                <w:sz w:val="17"/>
              </w:rPr>
              <w:t>Competition</w:t>
            </w:r>
          </w:p>
        </w:tc>
        <w:tc>
          <w:tcPr>
            <w:tcW w:type="dxa" w:w="6960"/>
          </w:tcPr>
          <w:p>
            <w:pPr>
              <w:spacing w:after="0" w:line="252" w:lineRule="auto"/>
            </w:pPr>
            <w:r>
              <w:rPr>
                <w:rFonts w:ascii="Calibri" w:hAnsi="Calibri"/>
                <w:b w:val="0"/>
                <w:i w:val="0"/>
                <w:color w:val="111111"/>
                <w:sz w:val="17"/>
              </w:rPr>
              <w:t>status, completedLineCount, homeTeamPoints, awayTeamPoints, standingsApplied</w:t>
            </w:r>
          </w:p>
        </w:tc>
      </w:tr>
    </w:tbl>
    <w:p>
      <w:pPr>
        <w:spacing w:after="40"/>
      </w:pPr>
    </w:p>
    <w:p>
      <w:pPr>
        <w:pStyle w:val="Heading2"/>
        <w:keepNext/>
      </w:pPr>
      <w:r>
        <w:t>8.3 Lineup current document and revision</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Field group</w:t>
            </w:r>
          </w:p>
        </w:tc>
        <w:tc>
          <w:tcPr>
            <w:tcW w:type="dxa" w:w="71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Definition</w:t>
            </w:r>
          </w:p>
        </w:tc>
      </w:tr>
      <w:tr>
        <w:tc>
          <w:tcPr>
            <w:tcW w:type="dxa" w:w="2200"/>
          </w:tcPr>
          <w:p>
            <w:pPr>
              <w:spacing w:after="0" w:line="252" w:lineRule="auto"/>
            </w:pPr>
            <w:r>
              <w:rPr>
                <w:rFonts w:ascii="Calibri" w:hAnsi="Calibri"/>
                <w:b w:val="0"/>
                <w:i w:val="0"/>
                <w:color w:val="111111"/>
                <w:sz w:val="17"/>
              </w:rPr>
              <w:t>Identity</w:t>
            </w:r>
          </w:p>
        </w:tc>
        <w:tc>
          <w:tcPr>
            <w:tcW w:type="dxa" w:w="7160"/>
          </w:tcPr>
          <w:p>
            <w:pPr>
              <w:spacing w:after="0" w:line="252" w:lineRule="auto"/>
            </w:pPr>
            <w:r>
              <w:rPr>
                <w:rFonts w:ascii="Calibri" w:hAnsi="Calibri"/>
                <w:b w:val="0"/>
                <w:i w:val="0"/>
                <w:color w:val="111111"/>
                <w:sz w:val="17"/>
              </w:rPr>
              <w:t>seasonId, matchupId, teamId, revisionNumber, ruleVersionId</w:t>
            </w:r>
          </w:p>
        </w:tc>
      </w:tr>
      <w:tr>
        <w:tc>
          <w:tcPr>
            <w:tcW w:type="dxa" w:w="2200"/>
          </w:tcPr>
          <w:p>
            <w:pPr>
              <w:spacing w:after="0" w:line="252" w:lineRule="auto"/>
            </w:pPr>
            <w:r>
              <w:rPr>
                <w:rFonts w:ascii="Calibri" w:hAnsi="Calibri"/>
                <w:b w:val="0"/>
                <w:i w:val="0"/>
                <w:color w:val="111111"/>
                <w:sz w:val="17"/>
              </w:rPr>
              <w:t>State</w:t>
            </w:r>
          </w:p>
        </w:tc>
        <w:tc>
          <w:tcPr>
            <w:tcW w:type="dxa" w:w="7160"/>
          </w:tcPr>
          <w:p>
            <w:pPr>
              <w:spacing w:after="0" w:line="252" w:lineRule="auto"/>
            </w:pPr>
            <w:r>
              <w:rPr>
                <w:rFonts w:ascii="Calibri" w:hAnsi="Calibri"/>
                <w:b w:val="0"/>
                <w:i w:val="0"/>
                <w:color w:val="111111"/>
                <w:sz w:val="17"/>
              </w:rPr>
              <w:t>draft | submitted | approved | rejected</w:t>
            </w:r>
          </w:p>
        </w:tc>
      </w:tr>
      <w:tr>
        <w:tc>
          <w:tcPr>
            <w:tcW w:type="dxa" w:w="2200"/>
          </w:tcPr>
          <w:p>
            <w:pPr>
              <w:spacing w:after="0" w:line="252" w:lineRule="auto"/>
            </w:pPr>
            <w:r>
              <w:rPr>
                <w:rFonts w:ascii="Calibri" w:hAnsi="Calibri"/>
                <w:b w:val="0"/>
                <w:i w:val="0"/>
                <w:color w:val="111111"/>
                <w:sz w:val="17"/>
              </w:rPr>
              <w:t>Content</w:t>
            </w:r>
          </w:p>
        </w:tc>
        <w:tc>
          <w:tcPr>
            <w:tcW w:type="dxa" w:w="7160"/>
          </w:tcPr>
          <w:p>
            <w:pPr>
              <w:spacing w:after="0" w:line="252" w:lineRule="auto"/>
            </w:pPr>
            <w:r>
              <w:rPr>
                <w:rFonts w:ascii="Calibri" w:hAnsi="Calibri"/>
                <w:b w:val="0"/>
                <w:i w:val="0"/>
                <w:color w:val="111111"/>
                <w:sz w:val="17"/>
              </w:rPr>
              <w:t>five lines; each has two player IDs/names/ranks and SOR</w:t>
            </w:r>
          </w:p>
        </w:tc>
      </w:tr>
      <w:tr>
        <w:tc>
          <w:tcPr>
            <w:tcW w:type="dxa" w:w="2200"/>
          </w:tcPr>
          <w:p>
            <w:pPr>
              <w:spacing w:after="0" w:line="252" w:lineRule="auto"/>
            </w:pPr>
            <w:r>
              <w:rPr>
                <w:rFonts w:ascii="Calibri" w:hAnsi="Calibri"/>
                <w:b w:val="0"/>
                <w:i w:val="0"/>
                <w:color w:val="111111"/>
                <w:sz w:val="17"/>
              </w:rPr>
              <w:t>Validation</w:t>
            </w:r>
          </w:p>
        </w:tc>
        <w:tc>
          <w:tcPr>
            <w:tcW w:type="dxa" w:w="7160"/>
          </w:tcPr>
          <w:p>
            <w:pPr>
              <w:spacing w:after="0" w:line="252" w:lineRule="auto"/>
            </w:pPr>
            <w:r>
              <w:rPr>
                <w:rFonts w:ascii="Calibri" w:hAnsi="Calibri"/>
                <w:b w:val="0"/>
                <w:i w:val="0"/>
                <w:color w:val="111111"/>
                <w:sz w:val="17"/>
              </w:rPr>
              <w:t>passed, errors, checkedAt, checkedBy, ruleVersionId</w:t>
            </w:r>
          </w:p>
        </w:tc>
      </w:tr>
      <w:tr>
        <w:tc>
          <w:tcPr>
            <w:tcW w:type="dxa" w:w="2200"/>
          </w:tcPr>
          <w:p>
            <w:pPr>
              <w:spacing w:after="0" w:line="252" w:lineRule="auto"/>
            </w:pPr>
            <w:r>
              <w:rPr>
                <w:rFonts w:ascii="Calibri" w:hAnsi="Calibri"/>
                <w:b w:val="0"/>
                <w:i w:val="0"/>
                <w:color w:val="111111"/>
                <w:sz w:val="17"/>
              </w:rPr>
              <w:t>Submission</w:t>
            </w:r>
          </w:p>
        </w:tc>
        <w:tc>
          <w:tcPr>
            <w:tcW w:type="dxa" w:w="7160"/>
          </w:tcPr>
          <w:p>
            <w:pPr>
              <w:spacing w:after="0" w:line="252" w:lineRule="auto"/>
            </w:pPr>
            <w:r>
              <w:rPr>
                <w:rFonts w:ascii="Calibri" w:hAnsi="Calibri"/>
                <w:b w:val="0"/>
                <w:i w:val="0"/>
                <w:color w:val="111111"/>
                <w:sz w:val="17"/>
              </w:rPr>
              <w:t>submittedByUid/playerId/name/role, submittedAt</w:t>
            </w:r>
          </w:p>
        </w:tc>
      </w:tr>
      <w:tr>
        <w:tc>
          <w:tcPr>
            <w:tcW w:type="dxa" w:w="2200"/>
          </w:tcPr>
          <w:p>
            <w:pPr>
              <w:spacing w:after="0" w:line="252" w:lineRule="auto"/>
            </w:pPr>
            <w:r>
              <w:rPr>
                <w:rFonts w:ascii="Calibri" w:hAnsi="Calibri"/>
                <w:b w:val="0"/>
                <w:i w:val="0"/>
                <w:color w:val="111111"/>
                <w:sz w:val="17"/>
              </w:rPr>
              <w:t>Approval</w:t>
            </w:r>
          </w:p>
        </w:tc>
        <w:tc>
          <w:tcPr>
            <w:tcW w:type="dxa" w:w="7160"/>
          </w:tcPr>
          <w:p>
            <w:pPr>
              <w:spacing w:after="0" w:line="252" w:lineRule="auto"/>
            </w:pPr>
            <w:r>
              <w:rPr>
                <w:rFonts w:ascii="Calibri" w:hAnsi="Calibri"/>
                <w:b w:val="0"/>
                <w:i w:val="0"/>
                <w:color w:val="111111"/>
                <w:sz w:val="17"/>
              </w:rPr>
              <w:t>approvedByUid/playerId/name/role, approvedAt</w:t>
            </w:r>
          </w:p>
        </w:tc>
      </w:tr>
      <w:tr>
        <w:tc>
          <w:tcPr>
            <w:tcW w:type="dxa" w:w="2200"/>
          </w:tcPr>
          <w:p>
            <w:pPr>
              <w:spacing w:after="0" w:line="252" w:lineRule="auto"/>
            </w:pPr>
            <w:r>
              <w:rPr>
                <w:rFonts w:ascii="Calibri" w:hAnsi="Calibri"/>
                <w:b w:val="0"/>
                <w:i w:val="0"/>
                <w:color w:val="111111"/>
                <w:sz w:val="17"/>
              </w:rPr>
              <w:t>Rejection</w:t>
            </w:r>
          </w:p>
        </w:tc>
        <w:tc>
          <w:tcPr>
            <w:tcW w:type="dxa" w:w="7160"/>
          </w:tcPr>
          <w:p>
            <w:pPr>
              <w:spacing w:after="0" w:line="252" w:lineRule="auto"/>
            </w:pPr>
            <w:r>
              <w:rPr>
                <w:rFonts w:ascii="Calibri" w:hAnsi="Calibri"/>
                <w:b w:val="0"/>
                <w:i w:val="0"/>
                <w:color w:val="111111"/>
                <w:sz w:val="17"/>
              </w:rPr>
              <w:t>rejectionReason, rejectedByUid/playerId/name/role, rejectedAt</w:t>
            </w:r>
          </w:p>
        </w:tc>
      </w:tr>
      <w:tr>
        <w:tc>
          <w:tcPr>
            <w:tcW w:type="dxa" w:w="2200"/>
          </w:tcPr>
          <w:p>
            <w:pPr>
              <w:spacing w:after="0" w:line="252" w:lineRule="auto"/>
            </w:pPr>
            <w:r>
              <w:rPr>
                <w:rFonts w:ascii="Calibri" w:hAnsi="Calibri"/>
                <w:b w:val="0"/>
                <w:i w:val="0"/>
                <w:color w:val="111111"/>
                <w:sz w:val="17"/>
              </w:rPr>
              <w:t>Audit</w:t>
            </w:r>
          </w:p>
        </w:tc>
        <w:tc>
          <w:tcPr>
            <w:tcW w:type="dxa" w:w="7160"/>
          </w:tcPr>
          <w:p>
            <w:pPr>
              <w:spacing w:after="0" w:line="252" w:lineRule="auto"/>
            </w:pPr>
            <w:r>
              <w:rPr>
                <w:rFonts w:ascii="Calibri" w:hAnsi="Calibri"/>
                <w:b w:val="0"/>
                <w:i w:val="0"/>
                <w:color w:val="111111"/>
                <w:sz w:val="17"/>
              </w:rPr>
              <w:t>updatedByUid, updatedAt</w:t>
            </w:r>
          </w:p>
        </w:tc>
      </w:tr>
      <w:tr>
        <w:tc>
          <w:tcPr>
            <w:tcW w:type="dxa" w:w="2200"/>
          </w:tcPr>
          <w:p>
            <w:pPr>
              <w:spacing w:after="0" w:line="252" w:lineRule="auto"/>
            </w:pPr>
            <w:r>
              <w:rPr>
                <w:rFonts w:ascii="Calibri" w:hAnsi="Calibri"/>
                <w:b w:val="0"/>
                <w:i w:val="0"/>
                <w:color w:val="111111"/>
                <w:sz w:val="17"/>
              </w:rPr>
              <w:t>Revision copy</w:t>
            </w:r>
          </w:p>
        </w:tc>
        <w:tc>
          <w:tcPr>
            <w:tcW w:type="dxa" w:w="7160"/>
          </w:tcPr>
          <w:p>
            <w:pPr>
              <w:spacing w:after="0" w:line="252" w:lineRule="auto"/>
            </w:pPr>
            <w:r>
              <w:rPr>
                <w:rFonts w:ascii="Calibri" w:hAnsi="Calibri"/>
                <w:b w:val="0"/>
                <w:i w:val="0"/>
                <w:color w:val="111111"/>
                <w:sz w:val="17"/>
              </w:rPr>
              <w:t>same payload plus immutable=true in revisions/{revisionNumber}</w:t>
            </w:r>
          </w:p>
        </w:tc>
      </w:tr>
    </w:tbl>
    <w:p>
      <w:pPr>
        <w:spacing w:after="40"/>
      </w:pPr>
    </w:p>
    <w:p>
      <w:pPr>
        <w:pStyle w:val="Heading2"/>
        <w:keepNext/>
      </w:pPr>
      <w:r>
        <w:t>8.4 Line match</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Field group</w:t>
            </w:r>
          </w:p>
        </w:tc>
        <w:tc>
          <w:tcPr>
            <w:tcW w:type="dxa" w:w="71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Definition</w:t>
            </w:r>
          </w:p>
        </w:tc>
      </w:tr>
      <w:tr>
        <w:tc>
          <w:tcPr>
            <w:tcW w:type="dxa" w:w="2200"/>
          </w:tcPr>
          <w:p>
            <w:pPr>
              <w:spacing w:after="0" w:line="252" w:lineRule="auto"/>
            </w:pPr>
            <w:r>
              <w:rPr>
                <w:rFonts w:ascii="Calibri" w:hAnsi="Calibri"/>
                <w:b w:val="0"/>
                <w:i w:val="0"/>
                <w:color w:val="111111"/>
                <w:sz w:val="17"/>
              </w:rPr>
              <w:t>Identity</w:t>
            </w:r>
          </w:p>
        </w:tc>
        <w:tc>
          <w:tcPr>
            <w:tcW w:type="dxa" w:w="7160"/>
          </w:tcPr>
          <w:p>
            <w:pPr>
              <w:spacing w:after="0" w:line="252" w:lineRule="auto"/>
            </w:pPr>
            <w:r>
              <w:rPr>
                <w:rFonts w:ascii="Calibri" w:hAnsi="Calibri"/>
                <w:b w:val="0"/>
                <w:i w:val="0"/>
                <w:color w:val="111111"/>
                <w:sz w:val="17"/>
              </w:rPr>
              <w:t>lineMatchId, matchupId, lineNumber, seasonId</w:t>
            </w:r>
          </w:p>
        </w:tc>
      </w:tr>
      <w:tr>
        <w:tc>
          <w:tcPr>
            <w:tcW w:type="dxa" w:w="2200"/>
          </w:tcPr>
          <w:p>
            <w:pPr>
              <w:spacing w:after="0" w:line="252" w:lineRule="auto"/>
            </w:pPr>
            <w:r>
              <w:rPr>
                <w:rFonts w:ascii="Calibri" w:hAnsi="Calibri"/>
                <w:b w:val="0"/>
                <w:i w:val="0"/>
                <w:color w:val="111111"/>
                <w:sz w:val="17"/>
              </w:rPr>
              <w:t>Teams/players</w:t>
            </w:r>
          </w:p>
        </w:tc>
        <w:tc>
          <w:tcPr>
            <w:tcW w:type="dxa" w:w="7160"/>
          </w:tcPr>
          <w:p>
            <w:pPr>
              <w:spacing w:after="0" w:line="252" w:lineRule="auto"/>
            </w:pPr>
            <w:r>
              <w:rPr>
                <w:rFonts w:ascii="Calibri" w:hAnsi="Calibri"/>
                <w:b w:val="0"/>
                <w:i w:val="0"/>
                <w:color w:val="111111"/>
                <w:sz w:val="17"/>
              </w:rPr>
              <w:t>homeTeamId, awayTeamId, homePlayers[2], awayPlayers[2], rank snapshots</w:t>
            </w:r>
          </w:p>
        </w:tc>
      </w:tr>
      <w:tr>
        <w:tc>
          <w:tcPr>
            <w:tcW w:type="dxa" w:w="2200"/>
          </w:tcPr>
          <w:p>
            <w:pPr>
              <w:spacing w:after="0" w:line="252" w:lineRule="auto"/>
            </w:pPr>
            <w:r>
              <w:rPr>
                <w:rFonts w:ascii="Calibri" w:hAnsi="Calibri"/>
                <w:b w:val="0"/>
                <w:i w:val="0"/>
                <w:color w:val="111111"/>
                <w:sz w:val="17"/>
              </w:rPr>
              <w:t>Lineup linkage</w:t>
            </w:r>
          </w:p>
        </w:tc>
        <w:tc>
          <w:tcPr>
            <w:tcW w:type="dxa" w:w="7160"/>
          </w:tcPr>
          <w:p>
            <w:pPr>
              <w:spacing w:after="0" w:line="252" w:lineRule="auto"/>
            </w:pPr>
            <w:r>
              <w:rPr>
                <w:rFonts w:ascii="Calibri" w:hAnsi="Calibri"/>
                <w:b w:val="0"/>
                <w:i w:val="0"/>
                <w:color w:val="111111"/>
                <w:sz w:val="17"/>
              </w:rPr>
              <w:t>homeLineupRevisionNumber, awayLineupRevisionNumber, lineupState, scoreEntryAllowed</w:t>
            </w:r>
          </w:p>
        </w:tc>
      </w:tr>
      <w:tr>
        <w:tc>
          <w:tcPr>
            <w:tcW w:type="dxa" w:w="2200"/>
          </w:tcPr>
          <w:p>
            <w:pPr>
              <w:spacing w:after="0" w:line="252" w:lineRule="auto"/>
            </w:pPr>
            <w:r>
              <w:rPr>
                <w:rFonts w:ascii="Calibri" w:hAnsi="Calibri"/>
                <w:b w:val="0"/>
                <w:i w:val="0"/>
                <w:color w:val="111111"/>
                <w:sz w:val="17"/>
              </w:rPr>
              <w:t>Schedule</w:t>
            </w:r>
          </w:p>
        </w:tc>
        <w:tc>
          <w:tcPr>
            <w:tcW w:type="dxa" w:w="7160"/>
          </w:tcPr>
          <w:p>
            <w:pPr>
              <w:spacing w:after="0" w:line="252" w:lineRule="auto"/>
            </w:pPr>
            <w:r>
              <w:rPr>
                <w:rFonts w:ascii="Calibri" w:hAnsi="Calibri"/>
                <w:b w:val="0"/>
                <w:i w:val="0"/>
                <w:color w:val="111111"/>
                <w:sz w:val="17"/>
              </w:rPr>
              <w:t>venueId/name/address, scheduledAt, scheduleStatus</w:t>
            </w:r>
          </w:p>
        </w:tc>
      </w:tr>
      <w:tr>
        <w:tc>
          <w:tcPr>
            <w:tcW w:type="dxa" w:w="2200"/>
          </w:tcPr>
          <w:p>
            <w:pPr>
              <w:spacing w:after="0" w:line="252" w:lineRule="auto"/>
            </w:pPr>
            <w:r>
              <w:rPr>
                <w:rFonts w:ascii="Calibri" w:hAnsi="Calibri"/>
                <w:b w:val="0"/>
                <w:i w:val="0"/>
                <w:color w:val="111111"/>
                <w:sz w:val="17"/>
              </w:rPr>
              <w:t>Score</w:t>
            </w:r>
          </w:p>
        </w:tc>
        <w:tc>
          <w:tcPr>
            <w:tcW w:type="dxa" w:w="7160"/>
          </w:tcPr>
          <w:p>
            <w:pPr>
              <w:spacing w:after="0" w:line="252" w:lineRule="auto"/>
            </w:pPr>
            <w:r>
              <w:rPr>
                <w:rFonts w:ascii="Calibri" w:hAnsi="Calibri"/>
                <w:b w:val="0"/>
                <w:i w:val="0"/>
                <w:color w:val="111111"/>
                <w:sz w:val="17"/>
              </w:rPr>
              <w:t>sets, scoreStatus, winnerTeamId, homePoints, awayPoints, completedAt</w:t>
            </w:r>
          </w:p>
        </w:tc>
      </w:tr>
      <w:tr>
        <w:tc>
          <w:tcPr>
            <w:tcW w:type="dxa" w:w="2200"/>
          </w:tcPr>
          <w:p>
            <w:pPr>
              <w:spacing w:after="0" w:line="252" w:lineRule="auto"/>
            </w:pPr>
            <w:r>
              <w:rPr>
                <w:rFonts w:ascii="Calibri" w:hAnsi="Calibri"/>
                <w:b w:val="0"/>
                <w:i w:val="0"/>
                <w:color w:val="111111"/>
                <w:sz w:val="17"/>
              </w:rPr>
              <w:t>Audit</w:t>
            </w:r>
          </w:p>
        </w:tc>
        <w:tc>
          <w:tcPr>
            <w:tcW w:type="dxa" w:w="7160"/>
          </w:tcPr>
          <w:p>
            <w:pPr>
              <w:spacing w:after="0" w:line="252" w:lineRule="auto"/>
            </w:pPr>
            <w:r>
              <w:rPr>
                <w:rFonts w:ascii="Calibri" w:hAnsi="Calibri"/>
                <w:b w:val="0"/>
                <w:i w:val="0"/>
                <w:color w:val="111111"/>
                <w:sz w:val="17"/>
              </w:rPr>
              <w:t>createdAt, updatedAt</w:t>
            </w:r>
          </w:p>
        </w:tc>
      </w:tr>
    </w:tbl>
    <w:p>
      <w:pPr>
        <w:spacing w:after="40"/>
      </w:pPr>
    </w:p>
    <w:p>
      <w:pPr>
        <w:pStyle w:val="Heading1"/>
        <w:keepNext/>
      </w:pPr>
      <w:r>
        <w:t>9. Lineup submission and approval detailed design</w:t>
      </w:r>
    </w:p>
    <w:p>
      <w:pPr>
        <w:pStyle w:val="Heading2"/>
        <w:keepNext/>
      </w:pPr>
      <w:r>
        <w:t>9.1 Status model</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900"/>
        <w:gridCol w:w="4300"/>
        <w:gridCol w:w="3160"/>
      </w:tblGrid>
      <w:tr>
        <w:trPr>
          <w:tblHeader w:val="true"/>
        </w:trPr>
        <w:tc>
          <w:tcPr>
            <w:tcW w:type="dxa" w:w="19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Team status</w:t>
            </w:r>
          </w:p>
        </w:tc>
        <w:tc>
          <w:tcPr>
            <w:tcW w:type="dxa" w:w="43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Meaning</w:t>
            </w:r>
          </w:p>
        </w:tc>
        <w:tc>
          <w:tcPr>
            <w:tcW w:type="dxa" w:w="31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Next action</w:t>
            </w:r>
          </w:p>
        </w:tc>
      </w:tr>
      <w:tr>
        <w:tc>
          <w:tcPr>
            <w:tcW w:type="dxa" w:w="1900"/>
          </w:tcPr>
          <w:p>
            <w:pPr>
              <w:spacing w:after="0" w:line="252" w:lineRule="auto"/>
            </w:pPr>
            <w:r>
              <w:rPr>
                <w:rFonts w:ascii="Calibri" w:hAnsi="Calibri"/>
                <w:b w:val="0"/>
                <w:i w:val="0"/>
                <w:color w:val="111111"/>
                <w:sz w:val="17"/>
              </w:rPr>
              <w:t>pendingSubmission</w:t>
            </w:r>
          </w:p>
        </w:tc>
        <w:tc>
          <w:tcPr>
            <w:tcW w:type="dxa" w:w="4300"/>
          </w:tcPr>
          <w:p>
            <w:pPr>
              <w:spacing w:after="0" w:line="252" w:lineRule="auto"/>
            </w:pPr>
            <w:r>
              <w:rPr>
                <w:rFonts w:ascii="Calibri" w:hAnsi="Calibri"/>
                <w:b w:val="0"/>
                <w:i w:val="0"/>
                <w:color w:val="111111"/>
                <w:sz w:val="17"/>
              </w:rPr>
              <w:t>No sealed submission is available for this team.</w:t>
            </w:r>
          </w:p>
        </w:tc>
        <w:tc>
          <w:tcPr>
            <w:tcW w:type="dxa" w:w="3160"/>
          </w:tcPr>
          <w:p>
            <w:pPr>
              <w:spacing w:after="0" w:line="252" w:lineRule="auto"/>
            </w:pPr>
            <w:r>
              <w:rPr>
                <w:rFonts w:ascii="Calibri" w:hAnsi="Calibri"/>
                <w:b w:val="0"/>
                <w:i w:val="0"/>
                <w:color w:val="111111"/>
                <w:sz w:val="17"/>
              </w:rPr>
              <w:t>Captain/EC/Approver/Super Admin submits</w:t>
            </w:r>
          </w:p>
        </w:tc>
      </w:tr>
      <w:tr>
        <w:tc>
          <w:tcPr>
            <w:tcW w:type="dxa" w:w="1900"/>
          </w:tcPr>
          <w:p>
            <w:pPr>
              <w:spacing w:after="0" w:line="252" w:lineRule="auto"/>
            </w:pPr>
            <w:r>
              <w:rPr>
                <w:rFonts w:ascii="Calibri" w:hAnsi="Calibri"/>
                <w:b w:val="0"/>
                <w:i w:val="0"/>
                <w:color w:val="111111"/>
                <w:sz w:val="17"/>
              </w:rPr>
              <w:t>submitted</w:t>
            </w:r>
          </w:p>
        </w:tc>
        <w:tc>
          <w:tcPr>
            <w:tcW w:type="dxa" w:w="4300"/>
          </w:tcPr>
          <w:p>
            <w:pPr>
              <w:spacing w:after="0" w:line="252" w:lineRule="auto"/>
            </w:pPr>
            <w:r>
              <w:rPr>
                <w:rFonts w:ascii="Calibri" w:hAnsi="Calibri"/>
                <w:b w:val="0"/>
                <w:i w:val="0"/>
                <w:color w:val="111111"/>
                <w:sz w:val="17"/>
              </w:rPr>
              <w:t>Current revision is sealed and awaiting a decision.</w:t>
            </w:r>
          </w:p>
        </w:tc>
        <w:tc>
          <w:tcPr>
            <w:tcW w:type="dxa" w:w="3160"/>
          </w:tcPr>
          <w:p>
            <w:pPr>
              <w:spacing w:after="0" w:line="252" w:lineRule="auto"/>
            </w:pPr>
            <w:r>
              <w:rPr>
                <w:rFonts w:ascii="Calibri" w:hAnsi="Calibri"/>
                <w:b w:val="0"/>
                <w:i w:val="0"/>
                <w:color w:val="111111"/>
                <w:sz w:val="17"/>
              </w:rPr>
              <w:t>Approver approves or rejects</w:t>
            </w:r>
          </w:p>
        </w:tc>
      </w:tr>
      <w:tr>
        <w:tc>
          <w:tcPr>
            <w:tcW w:type="dxa" w:w="1900"/>
          </w:tcPr>
          <w:p>
            <w:pPr>
              <w:spacing w:after="0" w:line="252" w:lineRule="auto"/>
            </w:pPr>
            <w:r>
              <w:rPr>
                <w:rFonts w:ascii="Calibri" w:hAnsi="Calibri"/>
                <w:b w:val="0"/>
                <w:i w:val="0"/>
                <w:color w:val="111111"/>
                <w:sz w:val="17"/>
              </w:rPr>
              <w:t>approved</w:t>
            </w:r>
          </w:p>
        </w:tc>
        <w:tc>
          <w:tcPr>
            <w:tcW w:type="dxa" w:w="4300"/>
          </w:tcPr>
          <w:p>
            <w:pPr>
              <w:spacing w:after="0" w:line="252" w:lineRule="auto"/>
            </w:pPr>
            <w:r>
              <w:rPr>
                <w:rFonts w:ascii="Calibri" w:hAnsi="Calibri"/>
                <w:b w:val="0"/>
                <w:i w:val="0"/>
                <w:color w:val="111111"/>
                <w:sz w:val="17"/>
              </w:rPr>
              <w:t>Current team revision is approved.</w:t>
            </w:r>
          </w:p>
        </w:tc>
        <w:tc>
          <w:tcPr>
            <w:tcW w:type="dxa" w:w="3160"/>
          </w:tcPr>
          <w:p>
            <w:pPr>
              <w:spacing w:after="0" w:line="252" w:lineRule="auto"/>
            </w:pPr>
            <w:r>
              <w:rPr>
                <w:rFonts w:ascii="Calibri" w:hAnsi="Calibri"/>
                <w:b w:val="0"/>
                <w:i w:val="0"/>
                <w:color w:val="111111"/>
                <w:sz w:val="17"/>
              </w:rPr>
              <w:t>Other team approved or, before full approval, Approver rejects</w:t>
            </w:r>
          </w:p>
        </w:tc>
      </w:tr>
      <w:tr>
        <w:tc>
          <w:tcPr>
            <w:tcW w:type="dxa" w:w="1900"/>
          </w:tcPr>
          <w:p>
            <w:pPr>
              <w:spacing w:after="0" w:line="252" w:lineRule="auto"/>
            </w:pPr>
            <w:r>
              <w:rPr>
                <w:rFonts w:ascii="Calibri" w:hAnsi="Calibri"/>
                <w:b w:val="0"/>
                <w:i w:val="0"/>
                <w:color w:val="111111"/>
                <w:sz w:val="17"/>
              </w:rPr>
              <w:t>rejected</w:t>
            </w:r>
          </w:p>
        </w:tc>
        <w:tc>
          <w:tcPr>
            <w:tcW w:type="dxa" w:w="4300"/>
          </w:tcPr>
          <w:p>
            <w:pPr>
              <w:spacing w:after="0" w:line="252" w:lineRule="auto"/>
            </w:pPr>
            <w:r>
              <w:rPr>
                <w:rFonts w:ascii="Calibri" w:hAnsi="Calibri"/>
                <w:b w:val="0"/>
                <w:i w:val="0"/>
                <w:color w:val="111111"/>
                <w:sz w:val="17"/>
              </w:rPr>
              <w:t>Current revision was returned with a reason.</w:t>
            </w:r>
          </w:p>
        </w:tc>
        <w:tc>
          <w:tcPr>
            <w:tcW w:type="dxa" w:w="3160"/>
          </w:tcPr>
          <w:p>
            <w:pPr>
              <w:spacing w:after="0" w:line="252" w:lineRule="auto"/>
            </w:pPr>
            <w:r>
              <w:rPr>
                <w:rFonts w:ascii="Calibri" w:hAnsi="Calibri"/>
                <w:b w:val="0"/>
                <w:i w:val="0"/>
                <w:color w:val="111111"/>
                <w:sz w:val="17"/>
              </w:rPr>
              <w:t>Authorized submitter submits a new revision</w:t>
            </w:r>
          </w:p>
        </w:tc>
      </w:tr>
    </w:tbl>
    <w:p>
      <w:pPr>
        <w:spacing w:after="40"/>
      </w:pP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Matchup status</w:t>
            </w:r>
          </w:p>
        </w:tc>
        <w:tc>
          <w:tcPr>
            <w:tcW w:type="dxa" w:w="7160"/>
            <w:tcMar>
              <w:top w:w="80" w:type="dxa"/>
              <w:start w:w="120" w:type="dxa"/>
              <w:bottom w:w="80" w:type="dxa"/>
              <w:end w:w="120" w:type="dxa"/>
            </w:tcMar>
            <w:vAlign w:val="center"/>
            <w:shd w:fill="F2F4F7"/>
          </w:tcPr>
          <w:p>
            <w:pPr>
              <w:spacing w:after="0" w:line="252" w:lineRule="auto"/>
            </w:pPr>
            <w:r>
              <w:rPr>
                <w:rFonts w:ascii="Calibri" w:hAnsi="Calibri"/>
                <w:b/>
                <w:i w:val="0"/>
                <w:color w:val="0B2545"/>
                <w:sz w:val="18"/>
              </w:rPr>
              <w:t>Derivation</w:t>
            </w:r>
          </w:p>
        </w:tc>
      </w:tr>
      <w:tr>
        <w:tc>
          <w:tcPr>
            <w:tcW w:type="dxa" w:w="2200"/>
          </w:tcPr>
          <w:p>
            <w:pPr>
              <w:spacing w:after="0" w:line="252" w:lineRule="auto"/>
            </w:pPr>
            <w:r>
              <w:rPr>
                <w:rFonts w:ascii="Calibri" w:hAnsi="Calibri"/>
                <w:b w:val="0"/>
                <w:i w:val="0"/>
                <w:color w:val="111111"/>
                <w:sz w:val="18"/>
              </w:rPr>
              <w:t>awaitingSubmission</w:t>
            </w:r>
          </w:p>
        </w:tc>
        <w:tc>
          <w:tcPr>
            <w:tcW w:type="dxa" w:w="7160"/>
          </w:tcPr>
          <w:p>
            <w:pPr>
              <w:spacing w:after="0" w:line="252" w:lineRule="auto"/>
            </w:pPr>
            <w:r>
              <w:rPr>
                <w:rFonts w:ascii="Calibri" w:hAnsi="Calibri"/>
                <w:b w:val="0"/>
                <w:i w:val="0"/>
                <w:color w:val="111111"/>
                <w:sz w:val="18"/>
              </w:rPr>
              <w:t>At least one team remains pending and neither team is rejected.</w:t>
            </w:r>
          </w:p>
        </w:tc>
      </w:tr>
      <w:tr>
        <w:tc>
          <w:tcPr>
            <w:tcW w:type="dxa" w:w="2200"/>
          </w:tcPr>
          <w:p>
            <w:pPr>
              <w:spacing w:after="0" w:line="252" w:lineRule="auto"/>
            </w:pPr>
            <w:r>
              <w:rPr>
                <w:rFonts w:ascii="Calibri" w:hAnsi="Calibri"/>
                <w:b w:val="0"/>
                <w:i w:val="0"/>
                <w:color w:val="111111"/>
                <w:sz w:val="18"/>
              </w:rPr>
              <w:t>awaitingApproval</w:t>
            </w:r>
          </w:p>
        </w:tc>
        <w:tc>
          <w:tcPr>
            <w:tcW w:type="dxa" w:w="7160"/>
          </w:tcPr>
          <w:p>
            <w:pPr>
              <w:spacing w:after="0" w:line="252" w:lineRule="auto"/>
            </w:pPr>
            <w:r>
              <w:rPr>
                <w:rFonts w:ascii="Calibri" w:hAnsi="Calibri"/>
                <w:b w:val="0"/>
                <w:i w:val="0"/>
                <w:color w:val="111111"/>
                <w:sz w:val="18"/>
              </w:rPr>
              <w:t>Both teams are submitted/approved but at least one submitted revision needs approval.</w:t>
            </w:r>
          </w:p>
        </w:tc>
      </w:tr>
      <w:tr>
        <w:tc>
          <w:tcPr>
            <w:tcW w:type="dxa" w:w="2200"/>
          </w:tcPr>
          <w:p>
            <w:pPr>
              <w:spacing w:after="0" w:line="252" w:lineRule="auto"/>
            </w:pPr>
            <w:r>
              <w:rPr>
                <w:rFonts w:ascii="Calibri" w:hAnsi="Calibri"/>
                <w:b w:val="0"/>
                <w:i w:val="0"/>
                <w:color w:val="111111"/>
                <w:sz w:val="18"/>
              </w:rPr>
              <w:t>rejected</w:t>
            </w:r>
          </w:p>
        </w:tc>
        <w:tc>
          <w:tcPr>
            <w:tcW w:type="dxa" w:w="7160"/>
          </w:tcPr>
          <w:p>
            <w:pPr>
              <w:spacing w:after="0" w:line="252" w:lineRule="auto"/>
            </w:pPr>
            <w:r>
              <w:rPr>
                <w:rFonts w:ascii="Calibri" w:hAnsi="Calibri"/>
                <w:b w:val="0"/>
                <w:i w:val="0"/>
                <w:color w:val="111111"/>
                <w:sz w:val="18"/>
              </w:rPr>
              <w:t>At least one team lineup is rejected.</w:t>
            </w:r>
          </w:p>
        </w:tc>
      </w:tr>
      <w:tr>
        <w:tc>
          <w:tcPr>
            <w:tcW w:type="dxa" w:w="2200"/>
          </w:tcPr>
          <w:p>
            <w:pPr>
              <w:spacing w:after="0" w:line="252" w:lineRule="auto"/>
            </w:pPr>
            <w:r>
              <w:rPr>
                <w:rFonts w:ascii="Calibri" w:hAnsi="Calibri"/>
                <w:b w:val="0"/>
                <w:i w:val="0"/>
                <w:color w:val="111111"/>
                <w:sz w:val="18"/>
              </w:rPr>
              <w:t>fullyApproved</w:t>
            </w:r>
          </w:p>
        </w:tc>
        <w:tc>
          <w:tcPr>
            <w:tcW w:type="dxa" w:w="7160"/>
          </w:tcPr>
          <w:p>
            <w:pPr>
              <w:spacing w:after="0" w:line="252" w:lineRule="auto"/>
            </w:pPr>
            <w:r>
              <w:rPr>
                <w:rFonts w:ascii="Calibri" w:hAnsi="Calibri"/>
                <w:b w:val="0"/>
                <w:i w:val="0"/>
                <w:color w:val="111111"/>
                <w:sz w:val="18"/>
              </w:rPr>
              <w:t>Both team lineup statuses are approved.</w:t>
            </w:r>
          </w:p>
        </w:tc>
      </w:tr>
    </w:tbl>
    <w:p>
      <w:pPr>
        <w:spacing w:after="40"/>
      </w:pPr>
    </w:p>
    <w:p>
      <w:pPr>
        <w:pStyle w:val="Heading2"/>
        <w:keepNext/>
      </w:pPr>
      <w:r>
        <w:t>9.2 Submission transaction</w:t>
      </w:r>
    </w:p>
    <w:p>
      <w:pPr>
        <w:pStyle w:val="ListNumber"/>
        <w:numPr>
          <w:ilvl w:val="0"/>
          <w:numId w:val="11"/>
        </w:numPr>
      </w:pPr>
      <w:r>
        <w:rPr>
          <w:rFonts w:ascii="Calibri" w:hAnsi="Calibri"/>
          <w:b w:val="0"/>
          <w:i w:val="0"/>
          <w:color w:val="111111"/>
          <w:sz w:val="22"/>
        </w:rPr>
        <w:t>Validate request IDs, signed-in actor, role, team relationship, and five-line lineup.</w:t>
      </w:r>
    </w:p>
    <w:p>
      <w:pPr>
        <w:pStyle w:val="ListNumber"/>
        <w:numPr>
          <w:ilvl w:val="0"/>
          <w:numId w:val="11"/>
        </w:numPr>
      </w:pPr>
      <w:r>
        <w:rPr>
          <w:rFonts w:ascii="Calibri" w:hAnsi="Calibri"/>
          <w:b w:val="0"/>
          <w:i w:val="0"/>
          <w:color w:val="111111"/>
          <w:sz w:val="22"/>
        </w:rPr>
        <w:t>Read active roster assignments for the selected team and canonicalize player snapshots and ranks.</w:t>
      </w:r>
    </w:p>
    <w:p>
      <w:pPr>
        <w:pStyle w:val="ListNumber"/>
        <w:numPr>
          <w:ilvl w:val="0"/>
          <w:numId w:val="11"/>
        </w:numPr>
      </w:pPr>
      <w:r>
        <w:rPr>
          <w:rFonts w:ascii="Calibri" w:hAnsi="Calibri"/>
          <w:b w:val="0"/>
          <w:i w:val="0"/>
          <w:color w:val="111111"/>
          <w:sz w:val="22"/>
        </w:rPr>
        <w:t>Read the action, matchup, current lineup, and proposed revision inside a Firestore transaction.</w:t>
      </w:r>
    </w:p>
    <w:p>
      <w:pPr>
        <w:pStyle w:val="ListNumber"/>
        <w:numPr>
          <w:ilvl w:val="0"/>
          <w:numId w:val="11"/>
        </w:numPr>
      </w:pPr>
      <w:r>
        <w:rPr>
          <w:rFonts w:ascii="Calibri" w:hAnsi="Calibri"/>
          <w:b w:val="0"/>
          <w:i w:val="0"/>
          <w:color w:val="111111"/>
          <w:sz w:val="22"/>
        </w:rPr>
        <w:t>Reject replacement of a submitted or approved current lineup.</w:t>
      </w:r>
    </w:p>
    <w:p>
      <w:pPr>
        <w:pStyle w:val="ListNumber"/>
        <w:numPr>
          <w:ilvl w:val="0"/>
          <w:numId w:val="11"/>
        </w:numPr>
      </w:pPr>
      <w:r>
        <w:rPr>
          <w:rFonts w:ascii="Calibri" w:hAnsi="Calibri"/>
          <w:b w:val="0"/>
          <w:i w:val="0"/>
          <w:color w:val="111111"/>
          <w:sz w:val="22"/>
        </w:rPr>
        <w:t>Increment the revision number and write the current lineup plus immutable revision copy.</w:t>
      </w:r>
    </w:p>
    <w:p>
      <w:pPr>
        <w:pStyle w:val="ListNumber"/>
        <w:numPr>
          <w:ilvl w:val="0"/>
          <w:numId w:val="11"/>
        </w:numPr>
      </w:pPr>
      <w:r>
        <w:rPr>
          <w:rFonts w:ascii="Calibri" w:hAnsi="Calibri"/>
          <w:b w:val="0"/>
          <w:i w:val="0"/>
          <w:color w:val="111111"/>
          <w:sz w:val="22"/>
        </w:rPr>
        <w:t>Update the appropriate Home/Away status, revision pointer, tracking map, and derived matchup status.</w:t>
      </w:r>
    </w:p>
    <w:p>
      <w:pPr>
        <w:pStyle w:val="ListNumber"/>
        <w:numPr>
          <w:ilvl w:val="0"/>
          <w:numId w:val="11"/>
        </w:numPr>
      </w:pPr>
      <w:r>
        <w:rPr>
          <w:rFonts w:ascii="Calibri" w:hAnsi="Calibri"/>
          <w:b w:val="0"/>
          <w:i w:val="0"/>
          <w:color w:val="111111"/>
          <w:sz w:val="22"/>
        </w:rPr>
        <w:t>Set workflow actor UID and operation ID on the matchup.</w:t>
      </w:r>
    </w:p>
    <w:p>
      <w:pPr>
        <w:pStyle w:val="ListNumber"/>
        <w:numPr>
          <w:ilvl w:val="0"/>
          <w:numId w:val="11"/>
        </w:numPr>
      </w:pPr>
      <w:r>
        <w:rPr>
          <w:rFonts w:ascii="Calibri" w:hAnsi="Calibri"/>
          <w:b w:val="0"/>
          <w:i w:val="0"/>
          <w:color w:val="111111"/>
          <w:sz w:val="22"/>
        </w:rPr>
        <w:t>Create a write-once submitted action containing prior/new status and result.</w:t>
      </w:r>
    </w:p>
    <w:p>
      <w:pPr>
        <w:pStyle w:val="Heading2"/>
        <w:keepNext/>
      </w:pPr>
      <w:r>
        <w:t>9.3 Approval/rejection transaction</w:t>
      </w:r>
    </w:p>
    <w:p>
      <w:pPr>
        <w:pStyle w:val="ListNumber"/>
        <w:numPr>
          <w:ilvl w:val="0"/>
          <w:numId w:val="12"/>
        </w:numPr>
      </w:pPr>
      <w:r>
        <w:rPr>
          <w:rFonts w:ascii="Calibri" w:hAnsi="Calibri"/>
          <w:b w:val="0"/>
          <w:i w:val="0"/>
          <w:color w:val="111111"/>
          <w:sz w:val="22"/>
        </w:rPr>
        <w:t>Only a Neutral Approver assigned to the matchup/season or Super Admin may decide.</w:t>
      </w:r>
    </w:p>
    <w:p>
      <w:pPr>
        <w:pStyle w:val="ListNumber"/>
        <w:numPr>
          <w:ilvl w:val="0"/>
          <w:numId w:val="12"/>
        </w:numPr>
      </w:pPr>
      <w:r>
        <w:rPr>
          <w:rFonts w:ascii="Calibri" w:hAnsi="Calibri"/>
          <w:b w:val="0"/>
          <w:i w:val="0"/>
          <w:color w:val="111111"/>
          <w:sz w:val="22"/>
        </w:rPr>
        <w:t>The Approver may review one submitted team even while the opponent is pending.</w:t>
      </w:r>
    </w:p>
    <w:p>
      <w:pPr>
        <w:pStyle w:val="ListNumber"/>
        <w:numPr>
          <w:ilvl w:val="0"/>
          <w:numId w:val="12"/>
        </w:numPr>
      </w:pPr>
      <w:r>
        <w:rPr>
          <w:rFonts w:ascii="Calibri" w:hAnsi="Calibri"/>
          <w:b w:val="0"/>
          <w:i w:val="0"/>
          <w:color w:val="111111"/>
          <w:sz w:val="22"/>
        </w:rPr>
        <w:t>Approval requires the current status to be submitted; rejection permits submitted or approved before full approval.</w:t>
      </w:r>
    </w:p>
    <w:p>
      <w:pPr>
        <w:pStyle w:val="ListNumber"/>
        <w:numPr>
          <w:ilvl w:val="0"/>
          <w:numId w:val="12"/>
        </w:numPr>
      </w:pPr>
      <w:r>
        <w:rPr>
          <w:rFonts w:ascii="Calibri" w:hAnsi="Calibri"/>
          <w:b w:val="0"/>
          <w:i w:val="0"/>
          <w:color w:val="111111"/>
          <w:sz w:val="22"/>
        </w:rPr>
        <w:t>A rejection requires a reason and clears approval metadata.</w:t>
      </w:r>
    </w:p>
    <w:p>
      <w:pPr>
        <w:pStyle w:val="ListNumber"/>
        <w:numPr>
          <w:ilvl w:val="0"/>
          <w:numId w:val="12"/>
        </w:numPr>
      </w:pPr>
      <w:r>
        <w:rPr>
          <w:rFonts w:ascii="Calibri" w:hAnsi="Calibri"/>
          <w:b w:val="0"/>
          <w:i w:val="0"/>
          <w:color w:val="111111"/>
          <w:sz w:val="22"/>
        </w:rPr>
        <w:t>Self-approval is permitted for the current release and is recorded when submittedByUid equals approvedByUid.</w:t>
      </w:r>
    </w:p>
    <w:p>
      <w:pPr>
        <w:pStyle w:val="ListNumber"/>
        <w:numPr>
          <w:ilvl w:val="0"/>
          <w:numId w:val="12"/>
        </w:numPr>
      </w:pPr>
      <w:r>
        <w:rPr>
          <w:rFonts w:ascii="Calibri" w:hAnsi="Calibri"/>
          <w:b w:val="0"/>
          <w:i w:val="0"/>
          <w:color w:val="111111"/>
          <w:sz w:val="22"/>
        </w:rPr>
        <w:t>The matchup status is recalculated from both team states.</w:t>
      </w:r>
    </w:p>
    <w:p>
      <w:pPr>
        <w:pStyle w:val="ListNumber"/>
        <w:numPr>
          <w:ilvl w:val="0"/>
          <w:numId w:val="12"/>
        </w:numPr>
      </w:pPr>
      <w:r>
        <w:rPr>
          <w:rFonts w:ascii="Calibri" w:hAnsi="Calibri"/>
          <w:b w:val="0"/>
          <w:i w:val="0"/>
          <w:color w:val="111111"/>
          <w:sz w:val="22"/>
        </w:rPr>
        <w:t>When both teams become approved, five line-match records are created or refreshed and score entry is enabled.</w:t>
      </w:r>
    </w:p>
    <w:p>
      <w:pPr>
        <w:pStyle w:val="ListNumber"/>
        <w:numPr>
          <w:ilvl w:val="0"/>
          <w:numId w:val="12"/>
        </w:numPr>
      </w:pPr>
      <w:r>
        <w:rPr>
          <w:rFonts w:ascii="Calibri" w:hAnsi="Calibri"/>
          <w:b w:val="0"/>
          <w:i w:val="0"/>
          <w:color w:val="111111"/>
          <w:sz w:val="22"/>
        </w:rPr>
        <w:t>The decision and all publication writes are committed atomically with a create-only action record.</w:t>
      </w:r>
    </w:p>
    <w:p>
      <w:pPr>
        <w:pStyle w:val="Heading2"/>
        <w:keepNext/>
      </w:pPr>
      <w:r>
        <w:t>9.4 Visibility model</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800"/>
        <w:gridCol w:w="3800"/>
        <w:gridCol w:w="3760"/>
      </w:tblGrid>
      <w:tr>
        <w:trPr>
          <w:tblHeader w:val="true"/>
        </w:trPr>
        <w:tc>
          <w:tcPr>
            <w:tcW w:type="dxa" w:w="18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Role</w:t>
            </w:r>
          </w:p>
        </w:tc>
        <w:tc>
          <w:tcPr>
            <w:tcW w:type="dxa" w:w="38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Before full approval</w:t>
            </w:r>
          </w:p>
        </w:tc>
        <w:tc>
          <w:tcPr>
            <w:tcW w:type="dxa" w:w="37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After full approval</w:t>
            </w:r>
          </w:p>
        </w:tc>
      </w:tr>
      <w:tr>
        <w:tc>
          <w:tcPr>
            <w:tcW w:type="dxa" w:w="1800"/>
          </w:tcPr>
          <w:p>
            <w:pPr>
              <w:spacing w:after="0" w:line="252" w:lineRule="auto"/>
            </w:pPr>
            <w:r>
              <w:rPr>
                <w:rFonts w:ascii="Calibri" w:hAnsi="Calibri"/>
                <w:b w:val="0"/>
                <w:i w:val="0"/>
                <w:color w:val="111111"/>
                <w:sz w:val="17"/>
              </w:rPr>
              <w:t>Captain</w:t>
            </w:r>
          </w:p>
        </w:tc>
        <w:tc>
          <w:tcPr>
            <w:tcW w:type="dxa" w:w="3800"/>
          </w:tcPr>
          <w:p>
            <w:pPr>
              <w:spacing w:after="0" w:line="252" w:lineRule="auto"/>
            </w:pPr>
            <w:r>
              <w:rPr>
                <w:rFonts w:ascii="Calibri" w:hAnsi="Calibri"/>
                <w:b w:val="0"/>
                <w:i w:val="0"/>
                <w:color w:val="111111"/>
                <w:sz w:val="17"/>
              </w:rPr>
              <w:t>Own team lineup</w:t>
            </w:r>
          </w:p>
        </w:tc>
        <w:tc>
          <w:tcPr>
            <w:tcW w:type="dxa" w:w="3760"/>
          </w:tcPr>
          <w:p>
            <w:pPr>
              <w:spacing w:after="0" w:line="252" w:lineRule="auto"/>
            </w:pPr>
            <w:r>
              <w:rPr>
                <w:rFonts w:ascii="Calibri" w:hAnsi="Calibri"/>
                <w:b w:val="0"/>
                <w:i w:val="0"/>
                <w:color w:val="111111"/>
                <w:sz w:val="17"/>
              </w:rPr>
              <w:t>Opponent team status only until publication</w:t>
            </w:r>
          </w:p>
        </w:tc>
      </w:tr>
      <w:tr>
        <w:tc>
          <w:tcPr>
            <w:tcW w:type="dxa" w:w="1800"/>
          </w:tcPr>
          <w:p>
            <w:pPr>
              <w:spacing w:after="0" w:line="252" w:lineRule="auto"/>
            </w:pPr>
            <w:r>
              <w:rPr>
                <w:rFonts w:ascii="Calibri" w:hAnsi="Calibri"/>
                <w:b w:val="0"/>
                <w:i w:val="0"/>
                <w:color w:val="111111"/>
                <w:sz w:val="17"/>
              </w:rPr>
              <w:t>EC</w:t>
            </w:r>
          </w:p>
        </w:tc>
        <w:tc>
          <w:tcPr>
            <w:tcW w:type="dxa" w:w="3800"/>
          </w:tcPr>
          <w:p>
            <w:pPr>
              <w:spacing w:after="0" w:line="252" w:lineRule="auto"/>
            </w:pPr>
            <w:r>
              <w:rPr>
                <w:rFonts w:ascii="Calibri" w:hAnsi="Calibri"/>
                <w:b w:val="0"/>
                <w:i w:val="0"/>
                <w:color w:val="111111"/>
                <w:sz w:val="17"/>
              </w:rPr>
              <w:t>Authorized season lineups</w:t>
            </w:r>
          </w:p>
        </w:tc>
        <w:tc>
          <w:tcPr>
            <w:tcW w:type="dxa" w:w="3760"/>
          </w:tcPr>
          <w:p>
            <w:pPr>
              <w:spacing w:after="0" w:line="252" w:lineRule="auto"/>
            </w:pPr>
            <w:r>
              <w:rPr>
                <w:rFonts w:ascii="Calibri" w:hAnsi="Calibri"/>
                <w:b w:val="0"/>
                <w:i w:val="0"/>
                <w:color w:val="111111"/>
                <w:sz w:val="17"/>
              </w:rPr>
              <w:t>Operational status and roster context</w:t>
            </w:r>
          </w:p>
        </w:tc>
      </w:tr>
      <w:tr>
        <w:tc>
          <w:tcPr>
            <w:tcW w:type="dxa" w:w="1800"/>
          </w:tcPr>
          <w:p>
            <w:pPr>
              <w:spacing w:after="0" w:line="252" w:lineRule="auto"/>
            </w:pPr>
            <w:r>
              <w:rPr>
                <w:rFonts w:ascii="Calibri" w:hAnsi="Calibri"/>
                <w:b w:val="0"/>
                <w:i w:val="0"/>
                <w:color w:val="111111"/>
                <w:sz w:val="17"/>
              </w:rPr>
              <w:t>Neutral Approver</w:t>
            </w:r>
          </w:p>
        </w:tc>
        <w:tc>
          <w:tcPr>
            <w:tcW w:type="dxa" w:w="3800"/>
          </w:tcPr>
          <w:p>
            <w:pPr>
              <w:spacing w:after="0" w:line="252" w:lineRule="auto"/>
            </w:pPr>
            <w:r>
              <w:rPr>
                <w:rFonts w:ascii="Calibri" w:hAnsi="Calibri"/>
                <w:b w:val="0"/>
                <w:i w:val="0"/>
                <w:color w:val="111111"/>
                <w:sz w:val="17"/>
              </w:rPr>
              <w:t>Both current team lineups</w:t>
            </w:r>
          </w:p>
        </w:tc>
        <w:tc>
          <w:tcPr>
            <w:tcW w:type="dxa" w:w="3760"/>
          </w:tcPr>
          <w:p>
            <w:pPr>
              <w:spacing w:after="0" w:line="252" w:lineRule="auto"/>
            </w:pPr>
            <w:r>
              <w:rPr>
                <w:rFonts w:ascii="Calibri" w:hAnsi="Calibri"/>
                <w:b w:val="0"/>
                <w:i w:val="0"/>
                <w:color w:val="111111"/>
                <w:sz w:val="17"/>
              </w:rPr>
              <w:t>Independent team decisions</w:t>
            </w:r>
          </w:p>
        </w:tc>
      </w:tr>
      <w:tr>
        <w:tc>
          <w:tcPr>
            <w:tcW w:type="dxa" w:w="1800"/>
          </w:tcPr>
          <w:p>
            <w:pPr>
              <w:spacing w:after="0" w:line="252" w:lineRule="auto"/>
            </w:pPr>
            <w:r>
              <w:rPr>
                <w:rFonts w:ascii="Calibri" w:hAnsi="Calibri"/>
                <w:b w:val="0"/>
                <w:i w:val="0"/>
                <w:color w:val="111111"/>
                <w:sz w:val="17"/>
              </w:rPr>
              <w:t>Super Admin</w:t>
            </w:r>
          </w:p>
        </w:tc>
        <w:tc>
          <w:tcPr>
            <w:tcW w:type="dxa" w:w="3800"/>
          </w:tcPr>
          <w:p>
            <w:pPr>
              <w:spacing w:after="0" w:line="252" w:lineRule="auto"/>
            </w:pPr>
            <w:r>
              <w:rPr>
                <w:rFonts w:ascii="Calibri" w:hAnsi="Calibri"/>
                <w:b w:val="0"/>
                <w:i w:val="0"/>
                <w:color w:val="111111"/>
                <w:sz w:val="17"/>
              </w:rPr>
              <w:t>All current and historical lineup data</w:t>
            </w:r>
          </w:p>
        </w:tc>
        <w:tc>
          <w:tcPr>
            <w:tcW w:type="dxa" w:w="3760"/>
          </w:tcPr>
          <w:p>
            <w:pPr>
              <w:spacing w:after="0" w:line="252" w:lineRule="auto"/>
            </w:pPr>
            <w:r>
              <w:rPr>
                <w:rFonts w:ascii="Calibri" w:hAnsi="Calibri"/>
                <w:b w:val="0"/>
                <w:i w:val="0"/>
                <w:color w:val="111111"/>
                <w:sz w:val="17"/>
              </w:rPr>
              <w:t>All actions</w:t>
            </w:r>
          </w:p>
        </w:tc>
      </w:tr>
      <w:tr>
        <w:tc>
          <w:tcPr>
            <w:tcW w:type="dxa" w:w="1800"/>
          </w:tcPr>
          <w:p>
            <w:pPr>
              <w:spacing w:after="0" w:line="252" w:lineRule="auto"/>
            </w:pPr>
            <w:r>
              <w:rPr>
                <w:rFonts w:ascii="Calibri" w:hAnsi="Calibri"/>
                <w:b w:val="0"/>
                <w:i w:val="0"/>
                <w:color w:val="111111"/>
                <w:sz w:val="17"/>
              </w:rPr>
              <w:t>Player/Guest</w:t>
            </w:r>
          </w:p>
        </w:tc>
        <w:tc>
          <w:tcPr>
            <w:tcW w:type="dxa" w:w="3800"/>
          </w:tcPr>
          <w:p>
            <w:pPr>
              <w:spacing w:after="0" w:line="252" w:lineRule="auto"/>
            </w:pPr>
            <w:r>
              <w:rPr>
                <w:rFonts w:ascii="Calibri" w:hAnsi="Calibri"/>
                <w:b w:val="0"/>
                <w:i w:val="0"/>
                <w:color w:val="111111"/>
                <w:sz w:val="17"/>
              </w:rPr>
              <w:t>Published information only</w:t>
            </w:r>
          </w:p>
        </w:tc>
        <w:tc>
          <w:tcPr>
            <w:tcW w:type="dxa" w:w="3760"/>
          </w:tcPr>
          <w:p>
            <w:pPr>
              <w:spacing w:after="0" w:line="252" w:lineRule="auto"/>
            </w:pPr>
            <w:r>
              <w:rPr>
                <w:rFonts w:ascii="Calibri" w:hAnsi="Calibri"/>
                <w:b w:val="0"/>
                <w:i w:val="0"/>
                <w:color w:val="111111"/>
                <w:sz w:val="17"/>
              </w:rPr>
              <w:t>No sealed drafts or internal decisions</w:t>
            </w:r>
          </w:p>
        </w:tc>
      </w:tr>
    </w:tbl>
    <w:p>
      <w:pPr>
        <w:spacing w:after="40"/>
      </w:pPr>
    </w:p>
    <w:p>
      <w:pPr>
        <w:pStyle w:val="Heading2"/>
        <w:keepNext/>
      </w:pPr>
      <w:r>
        <w:t>9.5 Requirements variance from original specification</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500"/>
        <w:gridCol w:w="2650"/>
        <w:gridCol w:w="3600"/>
        <w:gridCol w:w="1610"/>
      </w:tblGrid>
      <w:tr>
        <w:trPr>
          <w:tblHeader w:val="true"/>
        </w:trPr>
        <w:tc>
          <w:tcPr>
            <w:tcW w:type="dxa" w:w="15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Topic</w:t>
            </w:r>
          </w:p>
        </w:tc>
        <w:tc>
          <w:tcPr>
            <w:tcW w:type="dxa" w:w="265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Earlier baseline</w:t>
            </w:r>
          </w:p>
        </w:tc>
        <w:tc>
          <w:tcPr>
            <w:tcW w:type="dxa" w:w="36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Current design</w:t>
            </w:r>
          </w:p>
        </w:tc>
        <w:tc>
          <w:tcPr>
            <w:tcW w:type="dxa" w:w="161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Disposition</w:t>
            </w:r>
          </w:p>
        </w:tc>
      </w:tr>
      <w:tr>
        <w:tc>
          <w:tcPr>
            <w:tcW w:type="dxa" w:w="1500"/>
          </w:tcPr>
          <w:p>
            <w:pPr>
              <w:spacing w:after="0" w:line="252" w:lineRule="auto"/>
            </w:pPr>
            <w:r>
              <w:rPr>
                <w:rFonts w:ascii="Calibri" w:hAnsi="Calibri"/>
                <w:b w:val="0"/>
                <w:i w:val="0"/>
                <w:color w:val="111111"/>
                <w:sz w:val="15"/>
              </w:rPr>
              <w:t>Approver visibility</w:t>
            </w:r>
          </w:p>
        </w:tc>
        <w:tc>
          <w:tcPr>
            <w:tcW w:type="dxa" w:w="2650"/>
          </w:tcPr>
          <w:p>
            <w:pPr>
              <w:spacing w:after="0" w:line="252" w:lineRule="auto"/>
            </w:pPr>
            <w:r>
              <w:rPr>
                <w:rFonts w:ascii="Calibri" w:hAnsi="Calibri"/>
                <w:b w:val="0"/>
                <w:i w:val="0"/>
                <w:color w:val="111111"/>
                <w:sz w:val="15"/>
              </w:rPr>
              <w:t>Original: wait for both submissions</w:t>
            </w:r>
          </w:p>
        </w:tc>
        <w:tc>
          <w:tcPr>
            <w:tcW w:type="dxa" w:w="3600"/>
          </w:tcPr>
          <w:p>
            <w:pPr>
              <w:spacing w:after="0" w:line="252" w:lineRule="auto"/>
            </w:pPr>
            <w:r>
              <w:rPr>
                <w:rFonts w:ascii="Calibri" w:hAnsi="Calibri"/>
                <w:b w:val="0"/>
                <w:i w:val="0"/>
                <w:color w:val="111111"/>
                <w:sz w:val="15"/>
              </w:rPr>
              <w:t>Current: Approver can review the submitted team while the opponent is pending</w:t>
            </w:r>
          </w:p>
        </w:tc>
        <w:tc>
          <w:tcPr>
            <w:tcW w:type="dxa" w:w="1610"/>
          </w:tcPr>
          <w:p>
            <w:pPr>
              <w:spacing w:after="0" w:line="252" w:lineRule="auto"/>
            </w:pPr>
            <w:r>
              <w:rPr>
                <w:rFonts w:ascii="Calibri" w:hAnsi="Calibri"/>
                <w:b w:val="0"/>
                <w:i w:val="0"/>
                <w:color w:val="111111"/>
                <w:sz w:val="15"/>
              </w:rPr>
              <w:t>Approved product decision</w:t>
            </w:r>
          </w:p>
        </w:tc>
      </w:tr>
      <w:tr>
        <w:tc>
          <w:tcPr>
            <w:tcW w:type="dxa" w:w="1500"/>
          </w:tcPr>
          <w:p>
            <w:pPr>
              <w:spacing w:after="0" w:line="252" w:lineRule="auto"/>
            </w:pPr>
            <w:r>
              <w:rPr>
                <w:rFonts w:ascii="Calibri" w:hAnsi="Calibri"/>
                <w:b w:val="0"/>
                <w:i w:val="0"/>
                <w:color w:val="111111"/>
                <w:sz w:val="15"/>
              </w:rPr>
              <w:t>Approval granularity</w:t>
            </w:r>
          </w:p>
        </w:tc>
        <w:tc>
          <w:tcPr>
            <w:tcW w:type="dxa" w:w="2650"/>
          </w:tcPr>
          <w:p>
            <w:pPr>
              <w:spacing w:after="0" w:line="252" w:lineRule="auto"/>
            </w:pPr>
            <w:r>
              <w:rPr>
                <w:rFonts w:ascii="Calibri" w:hAnsi="Calibri"/>
                <w:b w:val="0"/>
                <w:i w:val="0"/>
                <w:color w:val="111111"/>
                <w:sz w:val="15"/>
              </w:rPr>
              <w:t>Original: approve both together</w:t>
            </w:r>
          </w:p>
        </w:tc>
        <w:tc>
          <w:tcPr>
            <w:tcW w:type="dxa" w:w="3600"/>
          </w:tcPr>
          <w:p>
            <w:pPr>
              <w:spacing w:after="0" w:line="252" w:lineRule="auto"/>
            </w:pPr>
            <w:r>
              <w:rPr>
                <w:rFonts w:ascii="Calibri" w:hAnsi="Calibri"/>
                <w:b w:val="0"/>
                <w:i w:val="0"/>
                <w:color w:val="111111"/>
                <w:sz w:val="15"/>
              </w:rPr>
              <w:t>Current: approve/reject each team independently; publish only when both approved</w:t>
            </w:r>
          </w:p>
        </w:tc>
        <w:tc>
          <w:tcPr>
            <w:tcW w:type="dxa" w:w="1610"/>
          </w:tcPr>
          <w:p>
            <w:pPr>
              <w:spacing w:after="0" w:line="252" w:lineRule="auto"/>
            </w:pPr>
            <w:r>
              <w:rPr>
                <w:rFonts w:ascii="Calibri" w:hAnsi="Calibri"/>
                <w:b w:val="0"/>
                <w:i w:val="0"/>
                <w:color w:val="111111"/>
                <w:sz w:val="15"/>
              </w:rPr>
              <w:t>Approved product decision</w:t>
            </w:r>
          </w:p>
        </w:tc>
      </w:tr>
      <w:tr>
        <w:tc>
          <w:tcPr>
            <w:tcW w:type="dxa" w:w="1500"/>
          </w:tcPr>
          <w:p>
            <w:pPr>
              <w:spacing w:after="0" w:line="252" w:lineRule="auto"/>
            </w:pPr>
            <w:r>
              <w:rPr>
                <w:rFonts w:ascii="Calibri" w:hAnsi="Calibri"/>
                <w:b w:val="0"/>
                <w:i w:val="0"/>
                <w:color w:val="111111"/>
                <w:sz w:val="15"/>
              </w:rPr>
              <w:t>Approver submission</w:t>
            </w:r>
          </w:p>
        </w:tc>
        <w:tc>
          <w:tcPr>
            <w:tcW w:type="dxa" w:w="2650"/>
          </w:tcPr>
          <w:p>
            <w:pPr>
              <w:spacing w:after="0" w:line="252" w:lineRule="auto"/>
            </w:pPr>
            <w:r>
              <w:rPr>
                <w:rFonts w:ascii="Calibri" w:hAnsi="Calibri"/>
                <w:b w:val="0"/>
                <w:i w:val="0"/>
                <w:color w:val="111111"/>
                <w:sz w:val="15"/>
              </w:rPr>
              <w:t>Original: not allowed</w:t>
            </w:r>
          </w:p>
        </w:tc>
        <w:tc>
          <w:tcPr>
            <w:tcW w:type="dxa" w:w="3600"/>
          </w:tcPr>
          <w:p>
            <w:pPr>
              <w:spacing w:after="0" w:line="252" w:lineRule="auto"/>
            </w:pPr>
            <w:r>
              <w:rPr>
                <w:rFonts w:ascii="Calibri" w:hAnsi="Calibri"/>
                <w:b w:val="0"/>
                <w:i w:val="0"/>
                <w:color w:val="111111"/>
                <w:sz w:val="15"/>
              </w:rPr>
              <w:t>Current: Neutral Approver may submit either team and self-approve with audit flag</w:t>
            </w:r>
          </w:p>
        </w:tc>
        <w:tc>
          <w:tcPr>
            <w:tcW w:type="dxa" w:w="1610"/>
          </w:tcPr>
          <w:p>
            <w:pPr>
              <w:spacing w:after="0" w:line="252" w:lineRule="auto"/>
            </w:pPr>
            <w:r>
              <w:rPr>
                <w:rFonts w:ascii="Calibri" w:hAnsi="Calibri"/>
                <w:b w:val="0"/>
                <w:i w:val="0"/>
                <w:color w:val="111111"/>
                <w:sz w:val="15"/>
              </w:rPr>
              <w:t>Approved product decision</w:t>
            </w:r>
          </w:p>
        </w:tc>
      </w:tr>
      <w:tr>
        <w:tc>
          <w:tcPr>
            <w:tcW w:type="dxa" w:w="1500"/>
          </w:tcPr>
          <w:p>
            <w:pPr>
              <w:spacing w:after="0" w:line="252" w:lineRule="auto"/>
            </w:pPr>
            <w:r>
              <w:rPr>
                <w:rFonts w:ascii="Calibri" w:hAnsi="Calibri"/>
                <w:b w:val="0"/>
                <w:i w:val="0"/>
                <w:color w:val="111111"/>
                <w:sz w:val="15"/>
              </w:rPr>
              <w:t>Time restrictions</w:t>
            </w:r>
          </w:p>
        </w:tc>
        <w:tc>
          <w:tcPr>
            <w:tcW w:type="dxa" w:w="2650"/>
          </w:tcPr>
          <w:p>
            <w:pPr>
              <w:spacing w:after="0" w:line="252" w:lineRule="auto"/>
            </w:pPr>
            <w:r>
              <w:rPr>
                <w:rFonts w:ascii="Calibri" w:hAnsi="Calibri"/>
                <w:b w:val="0"/>
                <w:i w:val="0"/>
                <w:color w:val="111111"/>
                <w:sz w:val="15"/>
              </w:rPr>
              <w:t>Original: deadlines envisioned</w:t>
            </w:r>
          </w:p>
        </w:tc>
        <w:tc>
          <w:tcPr>
            <w:tcW w:type="dxa" w:w="3600"/>
          </w:tcPr>
          <w:p>
            <w:pPr>
              <w:spacing w:after="0" w:line="252" w:lineRule="auto"/>
            </w:pPr>
            <w:r>
              <w:rPr>
                <w:rFonts w:ascii="Calibri" w:hAnsi="Calibri"/>
                <w:b w:val="0"/>
                <w:i w:val="0"/>
                <w:color w:val="111111"/>
                <w:sz w:val="15"/>
              </w:rPr>
              <w:t>Current: no approval time restrictions</w:t>
            </w:r>
          </w:p>
        </w:tc>
        <w:tc>
          <w:tcPr>
            <w:tcW w:type="dxa" w:w="1610"/>
          </w:tcPr>
          <w:p>
            <w:pPr>
              <w:spacing w:after="0" w:line="252" w:lineRule="auto"/>
            </w:pPr>
            <w:r>
              <w:rPr>
                <w:rFonts w:ascii="Calibri" w:hAnsi="Calibri"/>
                <w:b w:val="0"/>
                <w:i w:val="0"/>
                <w:color w:val="111111"/>
                <w:sz w:val="15"/>
              </w:rPr>
              <w:t>Explicitly deferred</w:t>
            </w:r>
          </w:p>
        </w:tc>
      </w:tr>
      <w:tr>
        <w:tc>
          <w:tcPr>
            <w:tcW w:type="dxa" w:w="1500"/>
          </w:tcPr>
          <w:p>
            <w:pPr>
              <w:spacing w:after="0" w:line="252" w:lineRule="auto"/>
            </w:pPr>
            <w:r>
              <w:rPr>
                <w:rFonts w:ascii="Calibri" w:hAnsi="Calibri"/>
                <w:b w:val="0"/>
                <w:i w:val="0"/>
                <w:color w:val="111111"/>
                <w:sz w:val="15"/>
              </w:rPr>
              <w:t>Post-approval change</w:t>
            </w:r>
          </w:p>
        </w:tc>
        <w:tc>
          <w:tcPr>
            <w:tcW w:type="dxa" w:w="2650"/>
          </w:tcPr>
          <w:p>
            <w:pPr>
              <w:spacing w:after="0" w:line="252" w:lineRule="auto"/>
            </w:pPr>
            <w:r>
              <w:rPr>
                <w:rFonts w:ascii="Calibri" w:hAnsi="Calibri"/>
                <w:b w:val="0"/>
                <w:i w:val="0"/>
                <w:color w:val="111111"/>
                <w:sz w:val="15"/>
              </w:rPr>
              <w:t>Original: change/consent workflow</w:t>
            </w:r>
          </w:p>
        </w:tc>
        <w:tc>
          <w:tcPr>
            <w:tcW w:type="dxa" w:w="3600"/>
          </w:tcPr>
          <w:p>
            <w:pPr>
              <w:spacing w:after="0" w:line="252" w:lineRule="auto"/>
            </w:pPr>
            <w:r>
              <w:rPr>
                <w:rFonts w:ascii="Calibri" w:hAnsi="Calibri"/>
                <w:b w:val="0"/>
                <w:i w:val="0"/>
                <w:color w:val="111111"/>
                <w:sz w:val="15"/>
              </w:rPr>
              <w:t>Current: no change request; separate reset-both exception</w:t>
            </w:r>
          </w:p>
        </w:tc>
        <w:tc>
          <w:tcPr>
            <w:tcW w:type="dxa" w:w="1610"/>
          </w:tcPr>
          <w:p>
            <w:pPr>
              <w:spacing w:after="0" w:line="252" w:lineRule="auto"/>
            </w:pPr>
            <w:r>
              <w:rPr>
                <w:rFonts w:ascii="Calibri" w:hAnsi="Calibri"/>
                <w:b w:val="0"/>
                <w:i w:val="0"/>
                <w:color w:val="111111"/>
                <w:sz w:val="15"/>
              </w:rPr>
              <w:t>Approved simplification</w:t>
            </w:r>
          </w:p>
        </w:tc>
      </w:tr>
    </w:tbl>
    <w:p>
      <w:pPr>
        <w:spacing w:after="40"/>
      </w:pPr>
    </w:p>
    <w:p>
      <w:pPr>
        <w:pStyle w:val="Heading1"/>
        <w:keepNext/>
      </w:pPr>
      <w:r>
        <w:t>10. Reset Approved Lineup exception</w:t>
      </w:r>
    </w:p>
    <w:p>
      <w:pPr>
        <w:pStyle w:val="Heading2"/>
        <w:keepNext/>
      </w:pPr>
      <w:r>
        <w:t>10.1 Access and selection</w:t>
      </w:r>
    </w:p>
    <w:p>
      <w:pPr/>
      <w:r>
        <w:rPr>
          <w:rFonts w:ascii="Calibri" w:hAnsi="Calibri"/>
          <w:b w:val="0"/>
          <w:i w:val="0"/>
          <w:color w:val="111111"/>
          <w:sz w:val="22"/>
        </w:rPr>
        <w:t>Reset Approved Lineup is a separate screen available only to Neutral Approvers and Super Admins. The user selects Season, Week, and Home Team/matchup. Both approved lineups, submitter/approver metadata, and all five line matches are displayed before reset.</w:t>
      </w:r>
    </w:p>
    <w:p>
      <w:pPr>
        <w:pStyle w:val="Heading2"/>
        <w:keepNext/>
      </w:pPr>
      <w:r>
        <w:t>10.2 Eligibility validation</w:t>
      </w:r>
    </w:p>
    <w:p>
      <w:pPr>
        <w:pStyle w:val="ListBullet"/>
      </w:pPr>
      <w:r>
        <w:rPr>
          <w:rFonts w:ascii="Calibri" w:hAnsi="Calibri"/>
          <w:b w:val="0"/>
          <w:i w:val="0"/>
          <w:color w:val="111111"/>
          <w:sz w:val="22"/>
        </w:rPr>
        <w:t>Matchup must be fullyApproved, or both stored team statuses must be approved.</w:t>
      </w:r>
    </w:p>
    <w:p>
      <w:pPr>
        <w:pStyle w:val="ListBullet"/>
      </w:pPr>
      <w:r>
        <w:rPr>
          <w:rFonts w:ascii="Calibri" w:hAnsi="Calibri"/>
          <w:b w:val="0"/>
          <w:i w:val="0"/>
          <w:color w:val="111111"/>
          <w:sz w:val="22"/>
        </w:rPr>
        <w:t>Both current lineup documents must exist.</w:t>
      </w:r>
    </w:p>
    <w:p>
      <w:pPr>
        <w:pStyle w:val="ListBullet"/>
      </w:pPr>
      <w:r>
        <w:rPr>
          <w:rFonts w:ascii="Calibri" w:hAnsi="Calibri"/>
          <w:b w:val="0"/>
          <w:i w:val="0"/>
          <w:color w:val="111111"/>
          <w:sz w:val="22"/>
        </w:rPr>
        <w:t>The application queries every line match and blocks when it finds in-progress/completed states, submitted/confirmed/disputed/published score states, nonzero set scores, nonzero points, a winner, or completedAt.</w:t>
      </w:r>
    </w:p>
    <w:p>
      <w:pPr>
        <w:pStyle w:val="ListBullet"/>
      </w:pPr>
      <w:r>
        <w:rPr>
          <w:rFonts w:ascii="Calibri" w:hAnsi="Calibri"/>
          <w:b w:val="0"/>
          <w:i w:val="0"/>
          <w:color w:val="111111"/>
          <w:sz w:val="22"/>
        </w:rPr>
        <w:t>The reset transaction re-reads the discovered line documents plus the five canonical line IDs immediately before writing.</w:t>
      </w:r>
    </w:p>
    <w:p>
      <w:pPr>
        <w:pStyle w:val="ListBullet"/>
      </w:pPr>
      <w:r>
        <w:rPr>
          <w:rFonts w:ascii="Calibri" w:hAnsi="Calibri"/>
          <w:b w:val="0"/>
          <w:i w:val="0"/>
          <w:color w:val="111111"/>
          <w:sz w:val="22"/>
        </w:rPr>
        <w:t>The user must enter a reason, acknowledge the effect, and type the exact Matchup ID.</w:t>
      </w:r>
    </w:p>
    <w:p>
      <w:pPr>
        <w:pStyle w:val="Heading2"/>
        <w:keepNext/>
      </w:pPr>
      <w:r>
        <w:t>10.3 Reset transaction result</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Record</w:t>
            </w:r>
          </w:p>
        </w:tc>
        <w:tc>
          <w:tcPr>
            <w:tcW w:type="dxa" w:w="71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Result</w:t>
            </w:r>
          </w:p>
        </w:tc>
      </w:tr>
      <w:tr>
        <w:tc>
          <w:tcPr>
            <w:tcW w:type="dxa" w:w="2200"/>
          </w:tcPr>
          <w:p>
            <w:pPr>
              <w:spacing w:after="0" w:line="252" w:lineRule="auto"/>
            </w:pPr>
            <w:r>
              <w:rPr>
                <w:rFonts w:ascii="Calibri" w:hAnsi="Calibri"/>
                <w:b w:val="0"/>
                <w:i w:val="0"/>
                <w:color w:val="111111"/>
                <w:sz w:val="17"/>
              </w:rPr>
              <w:t>Home lineup</w:t>
            </w:r>
          </w:p>
        </w:tc>
        <w:tc>
          <w:tcPr>
            <w:tcW w:type="dxa" w:w="7160"/>
          </w:tcPr>
          <w:p>
            <w:pPr>
              <w:spacing w:after="0" w:line="252" w:lineRule="auto"/>
            </w:pPr>
            <w:r>
              <w:rPr>
                <w:rFonts w:ascii="Calibri" w:hAnsi="Calibri"/>
                <w:b w:val="0"/>
                <w:i w:val="0"/>
                <w:color w:val="111111"/>
                <w:sz w:val="17"/>
              </w:rPr>
              <w:t>Delete current document; preserve revisions</w:t>
            </w:r>
          </w:p>
        </w:tc>
      </w:tr>
      <w:tr>
        <w:tc>
          <w:tcPr>
            <w:tcW w:type="dxa" w:w="2200"/>
          </w:tcPr>
          <w:p>
            <w:pPr>
              <w:spacing w:after="0" w:line="252" w:lineRule="auto"/>
            </w:pPr>
            <w:r>
              <w:rPr>
                <w:rFonts w:ascii="Calibri" w:hAnsi="Calibri"/>
                <w:b w:val="0"/>
                <w:i w:val="0"/>
                <w:color w:val="111111"/>
                <w:sz w:val="17"/>
              </w:rPr>
              <w:t>Away lineup</w:t>
            </w:r>
          </w:p>
        </w:tc>
        <w:tc>
          <w:tcPr>
            <w:tcW w:type="dxa" w:w="7160"/>
          </w:tcPr>
          <w:p>
            <w:pPr>
              <w:spacing w:after="0" w:line="252" w:lineRule="auto"/>
            </w:pPr>
            <w:r>
              <w:rPr>
                <w:rFonts w:ascii="Calibri" w:hAnsi="Calibri"/>
                <w:b w:val="0"/>
                <w:i w:val="0"/>
                <w:color w:val="111111"/>
                <w:sz w:val="17"/>
              </w:rPr>
              <w:t>Delete current document; preserve revisions</w:t>
            </w:r>
          </w:p>
        </w:tc>
      </w:tr>
      <w:tr>
        <w:tc>
          <w:tcPr>
            <w:tcW w:type="dxa" w:w="2200"/>
          </w:tcPr>
          <w:p>
            <w:pPr>
              <w:spacing w:after="0" w:line="252" w:lineRule="auto"/>
            </w:pPr>
            <w:r>
              <w:rPr>
                <w:rFonts w:ascii="Calibri" w:hAnsi="Calibri"/>
                <w:b w:val="0"/>
                <w:i w:val="0"/>
                <w:color w:val="111111"/>
                <w:sz w:val="17"/>
              </w:rPr>
              <w:t>Team statuses</w:t>
            </w:r>
          </w:p>
        </w:tc>
        <w:tc>
          <w:tcPr>
            <w:tcW w:type="dxa" w:w="7160"/>
          </w:tcPr>
          <w:p>
            <w:pPr>
              <w:spacing w:after="0" w:line="252" w:lineRule="auto"/>
            </w:pPr>
            <w:r>
              <w:rPr>
                <w:rFonts w:ascii="Calibri" w:hAnsi="Calibri"/>
                <w:b w:val="0"/>
                <w:i w:val="0"/>
                <w:color w:val="111111"/>
                <w:sz w:val="17"/>
              </w:rPr>
              <w:t>Both pendingSubmission</w:t>
            </w:r>
          </w:p>
        </w:tc>
      </w:tr>
      <w:tr>
        <w:tc>
          <w:tcPr>
            <w:tcW w:type="dxa" w:w="2200"/>
          </w:tcPr>
          <w:p>
            <w:pPr>
              <w:spacing w:after="0" w:line="252" w:lineRule="auto"/>
            </w:pPr>
            <w:r>
              <w:rPr>
                <w:rFonts w:ascii="Calibri" w:hAnsi="Calibri"/>
                <w:b w:val="0"/>
                <w:i w:val="0"/>
                <w:color w:val="111111"/>
                <w:sz w:val="17"/>
              </w:rPr>
              <w:t>Matchup status</w:t>
            </w:r>
          </w:p>
        </w:tc>
        <w:tc>
          <w:tcPr>
            <w:tcW w:type="dxa" w:w="7160"/>
          </w:tcPr>
          <w:p>
            <w:pPr>
              <w:spacing w:after="0" w:line="252" w:lineRule="auto"/>
            </w:pPr>
            <w:r>
              <w:rPr>
                <w:rFonts w:ascii="Calibri" w:hAnsi="Calibri"/>
                <w:b w:val="0"/>
                <w:i w:val="0"/>
                <w:color w:val="111111"/>
                <w:sz w:val="17"/>
              </w:rPr>
              <w:t>awaitingSubmission</w:t>
            </w:r>
          </w:p>
        </w:tc>
      </w:tr>
      <w:tr>
        <w:tc>
          <w:tcPr>
            <w:tcW w:type="dxa" w:w="2200"/>
          </w:tcPr>
          <w:p>
            <w:pPr>
              <w:spacing w:after="0" w:line="252" w:lineRule="auto"/>
            </w:pPr>
            <w:r>
              <w:rPr>
                <w:rFonts w:ascii="Calibri" w:hAnsi="Calibri"/>
                <w:b w:val="0"/>
                <w:i w:val="0"/>
                <w:color w:val="111111"/>
                <w:sz w:val="17"/>
              </w:rPr>
              <w:t>Publication</w:t>
            </w:r>
          </w:p>
        </w:tc>
        <w:tc>
          <w:tcPr>
            <w:tcW w:type="dxa" w:w="7160"/>
          </w:tcPr>
          <w:p>
            <w:pPr>
              <w:spacing w:after="0" w:line="252" w:lineRule="auto"/>
            </w:pPr>
            <w:r>
              <w:rPr>
                <w:rFonts w:ascii="Calibri" w:hAnsi="Calibri"/>
                <w:b w:val="0"/>
                <w:i w:val="0"/>
                <w:color w:val="111111"/>
                <w:sz w:val="17"/>
              </w:rPr>
              <w:t>lineupsPublished=false; timestamps cleared</w:t>
            </w:r>
          </w:p>
        </w:tc>
      </w:tr>
      <w:tr>
        <w:tc>
          <w:tcPr>
            <w:tcW w:type="dxa" w:w="2200"/>
          </w:tcPr>
          <w:p>
            <w:pPr>
              <w:spacing w:after="0" w:line="252" w:lineRule="auto"/>
            </w:pPr>
            <w:r>
              <w:rPr>
                <w:rFonts w:ascii="Calibri" w:hAnsi="Calibri"/>
                <w:b w:val="0"/>
                <w:i w:val="0"/>
                <w:color w:val="111111"/>
                <w:sz w:val="17"/>
              </w:rPr>
              <w:t>Approval cycle</w:t>
            </w:r>
          </w:p>
        </w:tc>
        <w:tc>
          <w:tcPr>
            <w:tcW w:type="dxa" w:w="7160"/>
          </w:tcPr>
          <w:p>
            <w:pPr>
              <w:spacing w:after="0" w:line="252" w:lineRule="auto"/>
            </w:pPr>
            <w:r>
              <w:rPr>
                <w:rFonts w:ascii="Calibri" w:hAnsi="Calibri"/>
                <w:b w:val="0"/>
                <w:i w:val="0"/>
                <w:color w:val="111111"/>
                <w:sz w:val="17"/>
              </w:rPr>
              <w:t>Increment by one</w:t>
            </w:r>
          </w:p>
        </w:tc>
      </w:tr>
      <w:tr>
        <w:tc>
          <w:tcPr>
            <w:tcW w:type="dxa" w:w="2200"/>
          </w:tcPr>
          <w:p>
            <w:pPr>
              <w:spacing w:after="0" w:line="252" w:lineRule="auto"/>
            </w:pPr>
            <w:r>
              <w:rPr>
                <w:rFonts w:ascii="Calibri" w:hAnsi="Calibri"/>
                <w:b w:val="0"/>
                <w:i w:val="0"/>
                <w:color w:val="111111"/>
                <w:sz w:val="17"/>
              </w:rPr>
              <w:t>Line matches</w:t>
            </w:r>
          </w:p>
        </w:tc>
        <w:tc>
          <w:tcPr>
            <w:tcW w:type="dxa" w:w="7160"/>
          </w:tcPr>
          <w:p>
            <w:pPr>
              <w:spacing w:after="0" w:line="252" w:lineRule="auto"/>
            </w:pPr>
            <w:r>
              <w:rPr>
                <w:rFonts w:ascii="Calibri" w:hAnsi="Calibri"/>
                <w:b w:val="0"/>
                <w:i w:val="0"/>
                <w:color w:val="111111"/>
                <w:sz w:val="17"/>
              </w:rPr>
              <w:t>Retain schedule documents; set lineupState=awaitingReapproval and scoreEntryAllowed=false</w:t>
            </w:r>
          </w:p>
        </w:tc>
      </w:tr>
      <w:tr>
        <w:tc>
          <w:tcPr>
            <w:tcW w:type="dxa" w:w="2200"/>
          </w:tcPr>
          <w:p>
            <w:pPr>
              <w:spacing w:after="0" w:line="252" w:lineRule="auto"/>
            </w:pPr>
            <w:r>
              <w:rPr>
                <w:rFonts w:ascii="Calibri" w:hAnsi="Calibri"/>
                <w:b w:val="0"/>
                <w:i w:val="0"/>
                <w:color w:val="111111"/>
                <w:sz w:val="17"/>
              </w:rPr>
              <w:t>Audit</w:t>
            </w:r>
          </w:p>
        </w:tc>
        <w:tc>
          <w:tcPr>
            <w:tcW w:type="dxa" w:w="7160"/>
          </w:tcPr>
          <w:p>
            <w:pPr>
              <w:spacing w:after="0" w:line="252" w:lineRule="auto"/>
            </w:pPr>
            <w:r>
              <w:rPr>
                <w:rFonts w:ascii="Calibri" w:hAnsi="Calibri"/>
                <w:b w:val="0"/>
                <w:i w:val="0"/>
                <w:color w:val="111111"/>
                <w:sz w:val="17"/>
              </w:rPr>
              <w:t>Create resetBothApprovedLineups action with actor, reason, previous revisions, and cycle</w:t>
            </w:r>
          </w:p>
        </w:tc>
      </w:tr>
    </w:tbl>
    <w:p>
      <w:pPr>
        <w:spacing w:after="40"/>
      </w:pPr>
    </w:p>
    <w:tbl>
      <w:tblPr>
        <w:tblW w:type="dxa" w:w="9360"/>
        <w:jc w:val="left"/>
        <w:tblLayout w:type="fixed"/>
        <w:tblLook w:firstColumn="1" w:firstRow="1" w:lastColumn="0" w:lastRow="0" w:noHBand="0" w:noVBand="1" w:val="04A0"/>
        <w:tblInd w:w="120" w:type="dxa"/>
        <w:tblBorders>
          <w:top w:val="single" w:sz="4" w:space="0" w:color="FDECEC"/>
          <w:left w:val="single" w:sz="4" w:space="0" w:color="FDECEC"/>
          <w:bottom w:val="single" w:sz="4" w:space="0" w:color="FDECEC"/>
          <w:right w:val="single" w:sz="4" w:space="0" w:color="FDECEC"/>
          <w:insideH w:val="single" w:sz="4" w:space="0" w:color="FDECEC"/>
          <w:insideV w:val="single" w:sz="4" w:space="0" w:color="FDECEC"/>
        </w:tblBorders>
      </w:tblPr>
      <w:tblGrid>
        <w:gridCol w:w="9360"/>
      </w:tblGrid>
      <w:tr>
        <w:tc>
          <w:tcPr>
            <w:tcW w:type="dxa" w:w="9360"/>
            <w:tcMar>
              <w:top w:w="80" w:type="dxa"/>
              <w:start w:w="120" w:type="dxa"/>
              <w:bottom w:w="80" w:type="dxa"/>
              <w:end w:w="120" w:type="dxa"/>
            </w:tcMar>
            <w:vAlign w:val="center"/>
            <w:shd w:fill="FDECEC"/>
          </w:tcPr>
          <w:p>
            <w:pPr>
              <w:spacing w:after="0"/>
            </w:pPr>
            <w:r>
              <w:rPr>
                <w:rFonts w:ascii="Calibri" w:hAnsi="Calibri"/>
                <w:b/>
                <w:i w:val="0"/>
                <w:color w:val="9B1C1C"/>
                <w:sz w:val="22"/>
              </w:rPr>
              <w:t xml:space="preserve">Residual risk: </w:t>
            </w:r>
            <w:r>
              <w:rPr>
                <w:rFonts w:ascii="Calibri" w:hAnsi="Calibri"/>
                <w:b w:val="0"/>
                <w:i w:val="0"/>
                <w:color w:val="111111"/>
                <w:sz w:val="22"/>
              </w:rPr>
              <w:t>Firestore Rules cannot issue an authorization-time collection query proving that no scored line exists. The application performs the score inspection and transaction re-read. This is reasonable for a rare action restricted to trusted Approvers and Super Admins, but it is the strongest trigger for future trusted-server migration.</w:t>
            </w:r>
          </w:p>
        </w:tc>
      </w:tr>
    </w:tbl>
    <w:p>
      <w:pPr>
        <w:spacing w:after="40"/>
      </w:pPr>
    </w:p>
    <w:p>
      <w:pPr>
        <w:pStyle w:val="Heading1"/>
        <w:keepNext/>
      </w:pPr>
      <w:r>
        <w:t>11. Scheduling, scoring, and publication</w:t>
      </w:r>
    </w:p>
    <w:p>
      <w:pPr>
        <w:pStyle w:val="Heading2"/>
        <w:keepNext/>
      </w:pPr>
      <w:r>
        <w:t>11.1 Match schedule and score</w:t>
      </w:r>
    </w:p>
    <w:p>
      <w:pPr/>
      <w:r>
        <w:rPr>
          <w:rFonts w:ascii="Calibri" w:hAnsi="Calibri"/>
          <w:b w:val="0"/>
          <w:i w:val="0"/>
          <w:color w:val="111111"/>
          <w:sz w:val="22"/>
        </w:rPr>
        <w:t>Each fully approved matchup produces five operational line-match documents. Captains may update lines involving their teams; EC and Super Admin users have season-wide management scope. A reset line with scoreEntryAllowed=false or lineupState=awaitingReapproval cannot be scored until both new lineups are fully approved.</w:t>
      </w:r>
    </w:p>
    <w:p>
      <w:pPr>
        <w:pStyle w:val="Heading2"/>
        <w:keepNext/>
      </w:pPr>
      <w:r>
        <w:t>11.2 Score validation</w:t>
      </w:r>
    </w:p>
    <w:p>
      <w:pPr>
        <w:pStyle w:val="ListBullet"/>
      </w:pPr>
      <w:r>
        <w:rPr>
          <w:rFonts w:ascii="Calibri" w:hAnsi="Calibri"/>
          <w:b w:val="0"/>
          <w:i w:val="0"/>
          <w:color w:val="111111"/>
          <w:sz w:val="22"/>
        </w:rPr>
        <w:t>Set scores are structured numeric values rather than free-form result text.</w:t>
      </w:r>
    </w:p>
    <w:p>
      <w:pPr>
        <w:pStyle w:val="ListBullet"/>
      </w:pPr>
      <w:r>
        <w:rPr>
          <w:rFonts w:ascii="Calibri" w:hAnsi="Calibri"/>
          <w:b w:val="0"/>
          <w:i w:val="0"/>
          <w:color w:val="111111"/>
          <w:sz w:val="22"/>
        </w:rPr>
        <w:t>The scoring module validates completeness and determines the winner.</w:t>
      </w:r>
    </w:p>
    <w:p>
      <w:pPr>
        <w:pStyle w:val="ListBullet"/>
      </w:pPr>
      <w:r>
        <w:rPr>
          <w:rFonts w:ascii="Calibri" w:hAnsi="Calibri"/>
          <w:b w:val="0"/>
          <w:i w:val="0"/>
          <w:color w:val="111111"/>
          <w:sz w:val="22"/>
        </w:rPr>
        <w:t>Straight-set completion does not permit a third set.</w:t>
      </w:r>
    </w:p>
    <w:p>
      <w:pPr>
        <w:pStyle w:val="ListBullet"/>
      </w:pPr>
      <w:r>
        <w:rPr>
          <w:rFonts w:ascii="Calibri" w:hAnsi="Calibri"/>
          <w:b w:val="0"/>
          <w:i w:val="0"/>
          <w:color w:val="111111"/>
          <w:sz w:val="22"/>
        </w:rPr>
        <w:t>Split first and second sets require a deciding set.</w:t>
      </w:r>
    </w:p>
    <w:p>
      <w:pPr>
        <w:pStyle w:val="ListBullet"/>
      </w:pPr>
      <w:r>
        <w:rPr>
          <w:rFonts w:ascii="Calibri" w:hAnsi="Calibri"/>
          <w:b w:val="0"/>
          <w:i w:val="0"/>
          <w:color w:val="111111"/>
          <w:sz w:val="22"/>
        </w:rPr>
        <w:t>Winner receives 14 league points; loser points follow the configured two-set or three-set rules.</w:t>
      </w:r>
    </w:p>
    <w:p>
      <w:pPr>
        <w:pStyle w:val="ListBullet"/>
      </w:pPr>
      <w:r>
        <w:rPr>
          <w:rFonts w:ascii="Calibri" w:hAnsi="Calibri"/>
          <w:b w:val="0"/>
          <w:i w:val="0"/>
          <w:color w:val="111111"/>
          <w:sz w:val="22"/>
        </w:rPr>
        <w:t>Final score entry requires explicit user confirmation and then disables further normal score update.</w:t>
      </w:r>
    </w:p>
    <w:p>
      <w:pPr>
        <w:pStyle w:val="Heading2"/>
        <w:keepNext/>
      </w:pPr>
      <w:r>
        <w:t>11.3 Public projection</w:t>
      </w:r>
    </w:p>
    <w:p>
      <w:pPr/>
      <w:r>
        <w:rPr>
          <w:rFonts w:ascii="Calibri" w:hAnsi="Calibri"/>
          <w:b w:val="0"/>
          <w:i w:val="0"/>
          <w:color w:val="111111"/>
          <w:sz w:val="22"/>
        </w:rPr>
        <w:t>Operational writes are followed by publication of guest-safe season dashboard data. The public projection must contain only approved schedules, published lineups, results, standings, and approved venue fields. Private contact details, registration state, availability, sealed lineups, internal notes, and dispute information remain outside the public projection.</w:t>
      </w:r>
    </w:p>
    <w:p>
      <w:pPr>
        <w:pStyle w:val="Heading2"/>
        <w:keepNext/>
      </w:pPr>
      <w:r>
        <w:t>11.4 Consistency considerations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900"/>
        <w:gridCol w:w="2700"/>
        <w:gridCol w:w="4760"/>
      </w:tblGrid>
      <w:tr>
        <w:trPr>
          <w:tblHeader w:val="true"/>
        </w:trPr>
        <w:tc>
          <w:tcPr>
            <w:tcW w:type="dxa" w:w="19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Boundary</w:t>
            </w:r>
          </w:p>
        </w:tc>
        <w:tc>
          <w:tcPr>
            <w:tcW w:type="dxa" w:w="27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Mechanism</w:t>
            </w:r>
          </w:p>
        </w:tc>
        <w:tc>
          <w:tcPr>
            <w:tcW w:type="dxa" w:w="47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Implication</w:t>
            </w:r>
          </w:p>
        </w:tc>
      </w:tr>
      <w:tr>
        <w:tc>
          <w:tcPr>
            <w:tcW w:type="dxa" w:w="1900"/>
          </w:tcPr>
          <w:p>
            <w:pPr>
              <w:spacing w:after="0" w:line="252" w:lineRule="auto"/>
            </w:pPr>
            <w:r>
              <w:rPr>
                <w:rFonts w:ascii="Calibri" w:hAnsi="Calibri"/>
                <w:b w:val="0"/>
                <w:i w:val="0"/>
                <w:color w:val="111111"/>
                <w:sz w:val="17"/>
              </w:rPr>
              <w:t>Within a workflow</w:t>
            </w:r>
          </w:p>
        </w:tc>
        <w:tc>
          <w:tcPr>
            <w:tcW w:type="dxa" w:w="2700"/>
          </w:tcPr>
          <w:p>
            <w:pPr>
              <w:spacing w:after="0" w:line="252" w:lineRule="auto"/>
            </w:pPr>
            <w:r>
              <w:rPr>
                <w:rFonts w:ascii="Calibri" w:hAnsi="Calibri"/>
                <w:b w:val="0"/>
                <w:i w:val="0"/>
                <w:color w:val="111111"/>
                <w:sz w:val="17"/>
              </w:rPr>
              <w:t>Firestore transaction/batch</w:t>
            </w:r>
          </w:p>
        </w:tc>
        <w:tc>
          <w:tcPr>
            <w:tcW w:type="dxa" w:w="4760"/>
          </w:tcPr>
          <w:p>
            <w:pPr>
              <w:spacing w:after="0" w:line="252" w:lineRule="auto"/>
            </w:pPr>
            <w:r>
              <w:rPr>
                <w:rFonts w:ascii="Calibri" w:hAnsi="Calibri"/>
                <w:b w:val="0"/>
                <w:i w:val="0"/>
                <w:color w:val="111111"/>
                <w:sz w:val="17"/>
              </w:rPr>
              <w:t>Atomic current state, revision, matchup, line records, and action.</w:t>
            </w:r>
          </w:p>
        </w:tc>
      </w:tr>
      <w:tr>
        <w:tc>
          <w:tcPr>
            <w:tcW w:type="dxa" w:w="1900"/>
          </w:tcPr>
          <w:p>
            <w:pPr>
              <w:spacing w:after="0" w:line="252" w:lineRule="auto"/>
            </w:pPr>
            <w:r>
              <w:rPr>
                <w:rFonts w:ascii="Calibri" w:hAnsi="Calibri"/>
                <w:b w:val="0"/>
                <w:i w:val="0"/>
                <w:color w:val="111111"/>
                <w:sz w:val="17"/>
              </w:rPr>
              <w:t>Public projection</w:t>
            </w:r>
          </w:p>
        </w:tc>
        <w:tc>
          <w:tcPr>
            <w:tcW w:type="dxa" w:w="2700"/>
          </w:tcPr>
          <w:p>
            <w:pPr>
              <w:spacing w:after="0" w:line="252" w:lineRule="auto"/>
            </w:pPr>
            <w:r>
              <w:rPr>
                <w:rFonts w:ascii="Calibri" w:hAnsi="Calibri"/>
                <w:b w:val="0"/>
                <w:i w:val="0"/>
                <w:color w:val="111111"/>
                <w:sz w:val="17"/>
              </w:rPr>
              <w:t>Follow-on client publication</w:t>
            </w:r>
          </w:p>
        </w:tc>
        <w:tc>
          <w:tcPr>
            <w:tcW w:type="dxa" w:w="4760"/>
          </w:tcPr>
          <w:p>
            <w:pPr>
              <w:spacing w:after="0" w:line="252" w:lineRule="auto"/>
            </w:pPr>
            <w:r>
              <w:rPr>
                <w:rFonts w:ascii="Calibri" w:hAnsi="Calibri"/>
                <w:b w:val="0"/>
                <w:i w:val="0"/>
                <w:color w:val="111111"/>
                <w:sz w:val="17"/>
              </w:rPr>
              <w:t>Eventual consistency; a failed projection may leave public data stale.</w:t>
            </w:r>
          </w:p>
        </w:tc>
      </w:tr>
      <w:tr>
        <w:tc>
          <w:tcPr>
            <w:tcW w:type="dxa" w:w="1900"/>
          </w:tcPr>
          <w:p>
            <w:pPr>
              <w:spacing w:after="0" w:line="252" w:lineRule="auto"/>
            </w:pPr>
            <w:r>
              <w:rPr>
                <w:rFonts w:ascii="Calibri" w:hAnsi="Calibri"/>
                <w:b w:val="0"/>
                <w:i w:val="0"/>
                <w:color w:val="111111"/>
                <w:sz w:val="17"/>
              </w:rPr>
              <w:t>Standings</w:t>
            </w:r>
          </w:p>
        </w:tc>
        <w:tc>
          <w:tcPr>
            <w:tcW w:type="dxa" w:w="2700"/>
          </w:tcPr>
          <w:p>
            <w:pPr>
              <w:spacing w:after="0" w:line="252" w:lineRule="auto"/>
            </w:pPr>
            <w:r>
              <w:rPr>
                <w:rFonts w:ascii="Calibri" w:hAnsi="Calibri"/>
                <w:b w:val="0"/>
                <w:i w:val="0"/>
                <w:color w:val="111111"/>
                <w:sz w:val="17"/>
              </w:rPr>
              <w:t>Client/server-derived documents depending workflow</w:t>
            </w:r>
          </w:p>
        </w:tc>
        <w:tc>
          <w:tcPr>
            <w:tcW w:type="dxa" w:w="4760"/>
          </w:tcPr>
          <w:p>
            <w:pPr>
              <w:spacing w:after="0" w:line="252" w:lineRule="auto"/>
            </w:pPr>
            <w:r>
              <w:rPr>
                <w:rFonts w:ascii="Calibri" w:hAnsi="Calibri"/>
                <w:b w:val="0"/>
                <w:i w:val="0"/>
                <w:color w:val="111111"/>
                <w:sz w:val="17"/>
              </w:rPr>
              <w:t>Must be idempotent and protected from duplicate application.</w:t>
            </w:r>
          </w:p>
        </w:tc>
      </w:tr>
      <w:tr>
        <w:tc>
          <w:tcPr>
            <w:tcW w:type="dxa" w:w="1900"/>
          </w:tcPr>
          <w:p>
            <w:pPr>
              <w:spacing w:after="0" w:line="252" w:lineRule="auto"/>
            </w:pPr>
            <w:r>
              <w:rPr>
                <w:rFonts w:ascii="Calibri" w:hAnsi="Calibri"/>
                <w:b w:val="0"/>
                <w:i w:val="0"/>
                <w:color w:val="111111"/>
                <w:sz w:val="17"/>
              </w:rPr>
              <w:t>Offline writes</w:t>
            </w:r>
          </w:p>
        </w:tc>
        <w:tc>
          <w:tcPr>
            <w:tcW w:type="dxa" w:w="2700"/>
          </w:tcPr>
          <w:p>
            <w:pPr>
              <w:spacing w:after="0" w:line="252" w:lineRule="auto"/>
            </w:pPr>
            <w:r>
              <w:rPr>
                <w:rFonts w:ascii="Calibri" w:hAnsi="Calibri"/>
                <w:b w:val="0"/>
                <w:i w:val="0"/>
                <w:color w:val="111111"/>
                <w:sz w:val="17"/>
              </w:rPr>
              <w:t>Firestore client behavior</w:t>
            </w:r>
          </w:p>
        </w:tc>
        <w:tc>
          <w:tcPr>
            <w:tcW w:type="dxa" w:w="4760"/>
          </w:tcPr>
          <w:p>
            <w:pPr>
              <w:spacing w:after="0" w:line="252" w:lineRule="auto"/>
            </w:pPr>
            <w:r>
              <w:rPr>
                <w:rFonts w:ascii="Calibri" w:hAnsi="Calibri"/>
                <w:b w:val="0"/>
                <w:i w:val="0"/>
                <w:color w:val="111111"/>
                <w:sz w:val="17"/>
              </w:rPr>
              <w:t>Operational flows should surface connectivity and avoid assuming immediate publication.</w:t>
            </w:r>
          </w:p>
        </w:tc>
      </w:tr>
    </w:tbl>
    <w:p>
      <w:pPr>
        <w:spacing w:after="40"/>
      </w:pPr>
    </w:p>
    <w:p>
      <w:pPr>
        <w:pStyle w:val="Heading1"/>
        <w:keepNext/>
      </w:pPr>
      <w:r>
        <w:t>12. Transaction, concurrency, and integrity design</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Integrity concern</w:t>
            </w:r>
          </w:p>
        </w:tc>
        <w:tc>
          <w:tcPr>
            <w:tcW w:type="dxa" w:w="70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Control</w:t>
            </w:r>
          </w:p>
        </w:tc>
      </w:tr>
      <w:tr>
        <w:tc>
          <w:tcPr>
            <w:tcW w:type="dxa" w:w="2300"/>
          </w:tcPr>
          <w:p>
            <w:pPr>
              <w:spacing w:after="0" w:line="252" w:lineRule="auto"/>
            </w:pPr>
            <w:r>
              <w:rPr>
                <w:rFonts w:ascii="Calibri" w:hAnsi="Calibri"/>
                <w:b w:val="0"/>
                <w:i w:val="0"/>
                <w:color w:val="111111"/>
                <w:sz w:val="17"/>
              </w:rPr>
              <w:t>Idempotency</w:t>
            </w:r>
          </w:p>
        </w:tc>
        <w:tc>
          <w:tcPr>
            <w:tcW w:type="dxa" w:w="7060"/>
          </w:tcPr>
          <w:p>
            <w:pPr>
              <w:spacing w:after="0" w:line="252" w:lineRule="auto"/>
            </w:pPr>
            <w:r>
              <w:rPr>
                <w:rFonts w:ascii="Calibri" w:hAnsi="Calibri"/>
                <w:b w:val="0"/>
                <w:i w:val="0"/>
                <w:color w:val="111111"/>
                <w:sz w:val="17"/>
              </w:rPr>
              <w:t>Every official lineup operation carries a random operation ID; duplicate action reads return the prior result.</w:t>
            </w:r>
          </w:p>
        </w:tc>
      </w:tr>
      <w:tr>
        <w:tc>
          <w:tcPr>
            <w:tcW w:type="dxa" w:w="2300"/>
          </w:tcPr>
          <w:p>
            <w:pPr>
              <w:spacing w:after="0" w:line="252" w:lineRule="auto"/>
            </w:pPr>
            <w:r>
              <w:rPr>
                <w:rFonts w:ascii="Calibri" w:hAnsi="Calibri"/>
                <w:b w:val="0"/>
                <w:i w:val="0"/>
                <w:color w:val="111111"/>
                <w:sz w:val="17"/>
              </w:rPr>
              <w:t>Optimistic concurrency</w:t>
            </w:r>
          </w:p>
        </w:tc>
        <w:tc>
          <w:tcPr>
            <w:tcW w:type="dxa" w:w="7060"/>
          </w:tcPr>
          <w:p>
            <w:pPr>
              <w:spacing w:after="0" w:line="252" w:lineRule="auto"/>
            </w:pPr>
            <w:r>
              <w:rPr>
                <w:rFonts w:ascii="Calibri" w:hAnsi="Calibri"/>
                <w:b w:val="0"/>
                <w:i w:val="0"/>
                <w:color w:val="111111"/>
                <w:sz w:val="17"/>
              </w:rPr>
              <w:t>Firestore transaction retries when read documents change.</w:t>
            </w:r>
          </w:p>
        </w:tc>
      </w:tr>
      <w:tr>
        <w:tc>
          <w:tcPr>
            <w:tcW w:type="dxa" w:w="2300"/>
          </w:tcPr>
          <w:p>
            <w:pPr>
              <w:spacing w:after="0" w:line="252" w:lineRule="auto"/>
            </w:pPr>
            <w:r>
              <w:rPr>
                <w:rFonts w:ascii="Calibri" w:hAnsi="Calibri"/>
                <w:b w:val="0"/>
                <w:i w:val="0"/>
                <w:color w:val="111111"/>
                <w:sz w:val="17"/>
              </w:rPr>
              <w:t>Revision monotonicity</w:t>
            </w:r>
          </w:p>
        </w:tc>
        <w:tc>
          <w:tcPr>
            <w:tcW w:type="dxa" w:w="7060"/>
          </w:tcPr>
          <w:p>
            <w:pPr>
              <w:spacing w:after="0" w:line="252" w:lineRule="auto"/>
            </w:pPr>
            <w:r>
              <w:rPr>
                <w:rFonts w:ascii="Calibri" w:hAnsi="Calibri"/>
                <w:b w:val="0"/>
                <w:i w:val="0"/>
                <w:color w:val="111111"/>
                <w:sz w:val="17"/>
              </w:rPr>
              <w:t>Next revision is max(current lineup revision, matchup pointer) + 1.</w:t>
            </w:r>
          </w:p>
        </w:tc>
      </w:tr>
      <w:tr>
        <w:tc>
          <w:tcPr>
            <w:tcW w:type="dxa" w:w="2300"/>
          </w:tcPr>
          <w:p>
            <w:pPr>
              <w:spacing w:after="0" w:line="252" w:lineRule="auto"/>
            </w:pPr>
            <w:r>
              <w:rPr>
                <w:rFonts w:ascii="Calibri" w:hAnsi="Calibri"/>
                <w:b w:val="0"/>
                <w:i w:val="0"/>
                <w:color w:val="111111"/>
                <w:sz w:val="17"/>
              </w:rPr>
              <w:t>Sealed state</w:t>
            </w:r>
          </w:p>
        </w:tc>
        <w:tc>
          <w:tcPr>
            <w:tcW w:type="dxa" w:w="7060"/>
          </w:tcPr>
          <w:p>
            <w:pPr>
              <w:spacing w:after="0" w:line="252" w:lineRule="auto"/>
            </w:pPr>
            <w:r>
              <w:rPr>
                <w:rFonts w:ascii="Calibri" w:hAnsi="Calibri"/>
                <w:b w:val="0"/>
                <w:i w:val="0"/>
                <w:color w:val="111111"/>
                <w:sz w:val="17"/>
              </w:rPr>
              <w:t>Submitted and approved current lineups cannot be overwritten by normal submission.</w:t>
            </w:r>
          </w:p>
        </w:tc>
      </w:tr>
      <w:tr>
        <w:tc>
          <w:tcPr>
            <w:tcW w:type="dxa" w:w="2300"/>
          </w:tcPr>
          <w:p>
            <w:pPr>
              <w:spacing w:after="0" w:line="252" w:lineRule="auto"/>
            </w:pPr>
            <w:r>
              <w:rPr>
                <w:rFonts w:ascii="Calibri" w:hAnsi="Calibri"/>
                <w:b w:val="0"/>
                <w:i w:val="0"/>
                <w:color w:val="111111"/>
                <w:sz w:val="17"/>
              </w:rPr>
              <w:t>Cross-document binding</w:t>
            </w:r>
          </w:p>
        </w:tc>
        <w:tc>
          <w:tcPr>
            <w:tcW w:type="dxa" w:w="7060"/>
          </w:tcPr>
          <w:p>
            <w:pPr>
              <w:spacing w:after="0" w:line="252" w:lineRule="auto"/>
            </w:pPr>
            <w:r>
              <w:rPr>
                <w:rFonts w:ascii="Calibri" w:hAnsi="Calibri"/>
                <w:b w:val="0"/>
                <w:i w:val="0"/>
                <w:color w:val="111111"/>
                <w:sz w:val="17"/>
              </w:rPr>
              <w:t>Matchup actor UID and operation ID bind related write permissions in Rules.</w:t>
            </w:r>
          </w:p>
        </w:tc>
      </w:tr>
      <w:tr>
        <w:tc>
          <w:tcPr>
            <w:tcW w:type="dxa" w:w="2300"/>
          </w:tcPr>
          <w:p>
            <w:pPr>
              <w:spacing w:after="0" w:line="252" w:lineRule="auto"/>
            </w:pPr>
            <w:r>
              <w:rPr>
                <w:rFonts w:ascii="Calibri" w:hAnsi="Calibri"/>
                <w:b w:val="0"/>
                <w:i w:val="0"/>
                <w:color w:val="111111"/>
                <w:sz w:val="17"/>
              </w:rPr>
              <w:t>State derivation</w:t>
            </w:r>
          </w:p>
        </w:tc>
        <w:tc>
          <w:tcPr>
            <w:tcW w:type="dxa" w:w="7060"/>
          </w:tcPr>
          <w:p>
            <w:pPr>
              <w:spacing w:after="0" w:line="252" w:lineRule="auto"/>
            </w:pPr>
            <w:r>
              <w:rPr>
                <w:rFonts w:ascii="Calibri" w:hAnsi="Calibri"/>
                <w:b w:val="0"/>
                <w:i w:val="0"/>
                <w:color w:val="111111"/>
                <w:sz w:val="17"/>
              </w:rPr>
              <w:t>Matchup approval status is recalculated from Home and Away statuses.</w:t>
            </w:r>
          </w:p>
        </w:tc>
      </w:tr>
      <w:tr>
        <w:tc>
          <w:tcPr>
            <w:tcW w:type="dxa" w:w="2300"/>
          </w:tcPr>
          <w:p>
            <w:pPr>
              <w:spacing w:after="0" w:line="252" w:lineRule="auto"/>
            </w:pPr>
            <w:r>
              <w:rPr>
                <w:rFonts w:ascii="Calibri" w:hAnsi="Calibri"/>
                <w:b w:val="0"/>
                <w:i w:val="0"/>
                <w:color w:val="111111"/>
                <w:sz w:val="17"/>
              </w:rPr>
              <w:t>Immutable evidence</w:t>
            </w:r>
          </w:p>
        </w:tc>
        <w:tc>
          <w:tcPr>
            <w:tcW w:type="dxa" w:w="7060"/>
          </w:tcPr>
          <w:p>
            <w:pPr>
              <w:spacing w:after="0" w:line="252" w:lineRule="auto"/>
            </w:pPr>
            <w:r>
              <w:rPr>
                <w:rFonts w:ascii="Calibri" w:hAnsi="Calibri"/>
                <w:b w:val="0"/>
                <w:i w:val="0"/>
                <w:color w:val="111111"/>
                <w:sz w:val="17"/>
              </w:rPr>
              <w:t>Revisions and review actions are create-only.</w:t>
            </w:r>
          </w:p>
        </w:tc>
      </w:tr>
      <w:tr>
        <w:tc>
          <w:tcPr>
            <w:tcW w:type="dxa" w:w="2300"/>
          </w:tcPr>
          <w:p>
            <w:pPr>
              <w:spacing w:after="0" w:line="252" w:lineRule="auto"/>
            </w:pPr>
            <w:r>
              <w:rPr>
                <w:rFonts w:ascii="Calibri" w:hAnsi="Calibri"/>
                <w:b w:val="0"/>
                <w:i w:val="0"/>
                <w:color w:val="111111"/>
                <w:sz w:val="17"/>
              </w:rPr>
              <w:t>Reset safety</w:t>
            </w:r>
          </w:p>
        </w:tc>
        <w:tc>
          <w:tcPr>
            <w:tcW w:type="dxa" w:w="7060"/>
          </w:tcPr>
          <w:p>
            <w:pPr>
              <w:spacing w:after="0" w:line="252" w:lineRule="auto"/>
            </w:pPr>
            <w:r>
              <w:rPr>
                <w:rFonts w:ascii="Calibri" w:hAnsi="Calibri"/>
                <w:b w:val="0"/>
                <w:i w:val="0"/>
                <w:color w:val="111111"/>
                <w:sz w:val="17"/>
              </w:rPr>
              <w:t>Known line documents are re-read before reset; score activity causes application failure.</w:t>
            </w:r>
          </w:p>
        </w:tc>
      </w:tr>
    </w:tbl>
    <w:p>
      <w:pPr>
        <w:spacing w:after="40"/>
      </w:pPr>
    </w:p>
    <w:p>
      <w:pPr>
        <w:pStyle w:val="Heading2"/>
        <w:keepNext/>
      </w:pPr>
      <w:r>
        <w:t>12.1 Rule-evaluation budget</w:t>
      </w:r>
    </w:p>
    <w:p>
      <w:pPr/>
      <w:r>
        <w:rPr>
          <w:rFonts w:ascii="Calibri" w:hAnsi="Calibri"/>
          <w:b w:val="0"/>
          <w:i w:val="0"/>
          <w:color w:val="111111"/>
          <w:sz w:val="22"/>
        </w:rPr>
        <w:t>Firestore Rules have expression and document-access limits. Workflow rules use matchup authorization snapshots and a single operation actor binding to avoid repeatedly loading user, member, and assignment records for every write in a multi-document transaction. Emulator tests validate the complete submission, one-sided approval, second-team approval with five line records, unauthorized Captain denial, and reset transaction.</w:t>
      </w:r>
    </w:p>
    <w:p>
      <w:pPr>
        <w:pStyle w:val="Heading2"/>
        <w:keepNext/>
      </w:pPr>
      <w:r>
        <w:t>12.2 Failure behavior</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300"/>
        <w:gridCol w:w="7060"/>
      </w:tblGrid>
      <w:tr>
        <w:trPr>
          <w:tblHeader w:val="true"/>
        </w:trPr>
        <w:tc>
          <w:tcPr>
            <w:tcW w:type="dxa" w:w="23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Failure</w:t>
            </w:r>
          </w:p>
        </w:tc>
        <w:tc>
          <w:tcPr>
            <w:tcW w:type="dxa" w:w="70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Expected behavior</w:t>
            </w:r>
          </w:p>
        </w:tc>
      </w:tr>
      <w:tr>
        <w:tc>
          <w:tcPr>
            <w:tcW w:type="dxa" w:w="2300"/>
          </w:tcPr>
          <w:p>
            <w:pPr>
              <w:spacing w:after="0" w:line="252" w:lineRule="auto"/>
            </w:pPr>
            <w:r>
              <w:rPr>
                <w:rFonts w:ascii="Calibri" w:hAnsi="Calibri"/>
                <w:b w:val="0"/>
                <w:i w:val="0"/>
                <w:color w:val="111111"/>
                <w:sz w:val="17"/>
              </w:rPr>
              <w:t>Validation failure</w:t>
            </w:r>
          </w:p>
        </w:tc>
        <w:tc>
          <w:tcPr>
            <w:tcW w:type="dxa" w:w="7060"/>
          </w:tcPr>
          <w:p>
            <w:pPr>
              <w:spacing w:after="0" w:line="252" w:lineRule="auto"/>
            </w:pPr>
            <w:r>
              <w:rPr>
                <w:rFonts w:ascii="Calibri" w:hAnsi="Calibri"/>
                <w:b w:val="0"/>
                <w:i w:val="0"/>
                <w:color w:val="111111"/>
                <w:sz w:val="17"/>
              </w:rPr>
              <w:t>No official write; display exact lineup or score error.</w:t>
            </w:r>
          </w:p>
        </w:tc>
      </w:tr>
      <w:tr>
        <w:tc>
          <w:tcPr>
            <w:tcW w:type="dxa" w:w="2300"/>
          </w:tcPr>
          <w:p>
            <w:pPr>
              <w:spacing w:after="0" w:line="252" w:lineRule="auto"/>
            </w:pPr>
            <w:r>
              <w:rPr>
                <w:rFonts w:ascii="Calibri" w:hAnsi="Calibri"/>
                <w:b w:val="0"/>
                <w:i w:val="0"/>
                <w:color w:val="111111"/>
                <w:sz w:val="17"/>
              </w:rPr>
              <w:t>Authorization failure</w:t>
            </w:r>
          </w:p>
        </w:tc>
        <w:tc>
          <w:tcPr>
            <w:tcW w:type="dxa" w:w="7060"/>
          </w:tcPr>
          <w:p>
            <w:pPr>
              <w:spacing w:after="0" w:line="252" w:lineRule="auto"/>
            </w:pPr>
            <w:r>
              <w:rPr>
                <w:rFonts w:ascii="Calibri" w:hAnsi="Calibri"/>
                <w:b w:val="0"/>
                <w:i w:val="0"/>
                <w:color w:val="111111"/>
                <w:sz w:val="17"/>
              </w:rPr>
              <w:t>Firestore permission-denied; UI restores controls and displays failure.</w:t>
            </w:r>
          </w:p>
        </w:tc>
      </w:tr>
      <w:tr>
        <w:tc>
          <w:tcPr>
            <w:tcW w:type="dxa" w:w="2300"/>
          </w:tcPr>
          <w:p>
            <w:pPr>
              <w:spacing w:after="0" w:line="252" w:lineRule="auto"/>
            </w:pPr>
            <w:r>
              <w:rPr>
                <w:rFonts w:ascii="Calibri" w:hAnsi="Calibri"/>
                <w:b w:val="0"/>
                <w:i w:val="0"/>
                <w:color w:val="111111"/>
                <w:sz w:val="17"/>
              </w:rPr>
              <w:t>Concurrent update</w:t>
            </w:r>
          </w:p>
        </w:tc>
        <w:tc>
          <w:tcPr>
            <w:tcW w:type="dxa" w:w="7060"/>
          </w:tcPr>
          <w:p>
            <w:pPr>
              <w:spacing w:after="0" w:line="252" w:lineRule="auto"/>
            </w:pPr>
            <w:r>
              <w:rPr>
                <w:rFonts w:ascii="Calibri" w:hAnsi="Calibri"/>
                <w:b w:val="0"/>
                <w:i w:val="0"/>
                <w:color w:val="111111"/>
                <w:sz w:val="17"/>
              </w:rPr>
              <w:t>Firestore retries transaction; stale state is rejected on re-evaluation.</w:t>
            </w:r>
          </w:p>
        </w:tc>
      </w:tr>
      <w:tr>
        <w:tc>
          <w:tcPr>
            <w:tcW w:type="dxa" w:w="2300"/>
          </w:tcPr>
          <w:p>
            <w:pPr>
              <w:spacing w:after="0" w:line="252" w:lineRule="auto"/>
            </w:pPr>
            <w:r>
              <w:rPr>
                <w:rFonts w:ascii="Calibri" w:hAnsi="Calibri"/>
                <w:b w:val="0"/>
                <w:i w:val="0"/>
                <w:color w:val="111111"/>
                <w:sz w:val="17"/>
              </w:rPr>
              <w:t>Partial network failure</w:t>
            </w:r>
          </w:p>
        </w:tc>
        <w:tc>
          <w:tcPr>
            <w:tcW w:type="dxa" w:w="7060"/>
          </w:tcPr>
          <w:p>
            <w:pPr>
              <w:spacing w:after="0" w:line="252" w:lineRule="auto"/>
            </w:pPr>
            <w:r>
              <w:rPr>
                <w:rFonts w:ascii="Calibri" w:hAnsi="Calibri"/>
                <w:b w:val="0"/>
                <w:i w:val="0"/>
                <w:color w:val="111111"/>
                <w:sz w:val="17"/>
              </w:rPr>
              <w:t>Atomic transaction does not partially commit.</w:t>
            </w:r>
          </w:p>
        </w:tc>
      </w:tr>
      <w:tr>
        <w:tc>
          <w:tcPr>
            <w:tcW w:type="dxa" w:w="2300"/>
          </w:tcPr>
          <w:p>
            <w:pPr>
              <w:spacing w:after="0" w:line="252" w:lineRule="auto"/>
            </w:pPr>
            <w:r>
              <w:rPr>
                <w:rFonts w:ascii="Calibri" w:hAnsi="Calibri"/>
                <w:b w:val="0"/>
                <w:i w:val="0"/>
                <w:color w:val="111111"/>
                <w:sz w:val="17"/>
              </w:rPr>
              <w:t>Public projection failure</w:t>
            </w:r>
          </w:p>
        </w:tc>
        <w:tc>
          <w:tcPr>
            <w:tcW w:type="dxa" w:w="7060"/>
          </w:tcPr>
          <w:p>
            <w:pPr>
              <w:spacing w:after="0" w:line="252" w:lineRule="auto"/>
            </w:pPr>
            <w:r>
              <w:rPr>
                <w:rFonts w:ascii="Calibri" w:hAnsi="Calibri"/>
                <w:b w:val="0"/>
                <w:i w:val="0"/>
                <w:color w:val="111111"/>
                <w:sz w:val="17"/>
              </w:rPr>
              <w:t>Operational state may commit while public projection remains stale; requires retry/monitoring.</w:t>
            </w:r>
          </w:p>
        </w:tc>
      </w:tr>
      <w:tr>
        <w:tc>
          <w:tcPr>
            <w:tcW w:type="dxa" w:w="2300"/>
          </w:tcPr>
          <w:p>
            <w:pPr>
              <w:spacing w:after="0" w:line="252" w:lineRule="auto"/>
            </w:pPr>
            <w:r>
              <w:rPr>
                <w:rFonts w:ascii="Calibri" w:hAnsi="Calibri"/>
                <w:b w:val="0"/>
                <w:i w:val="0"/>
                <w:color w:val="111111"/>
                <w:sz w:val="17"/>
              </w:rPr>
              <w:t>Service worker stale asset</w:t>
            </w:r>
          </w:p>
        </w:tc>
        <w:tc>
          <w:tcPr>
            <w:tcW w:type="dxa" w:w="7060"/>
          </w:tcPr>
          <w:p>
            <w:pPr>
              <w:spacing w:after="0" w:line="252" w:lineRule="auto"/>
            </w:pPr>
            <w:r>
              <w:rPr>
                <w:rFonts w:ascii="Calibri" w:hAnsi="Calibri"/>
                <w:b w:val="0"/>
                <w:i w:val="0"/>
                <w:color w:val="111111"/>
                <w:sz w:val="17"/>
              </w:rPr>
              <w:t>Network-first app code and no-cache hosting headers reduce risk; versioned cache activates on update.</w:t>
            </w:r>
          </w:p>
        </w:tc>
      </w:tr>
    </w:tbl>
    <w:p>
      <w:pPr>
        <w:spacing w:after="40"/>
      </w:pPr>
    </w:p>
    <w:p>
      <w:pPr>
        <w:pStyle w:val="Heading1"/>
        <w:keepNext/>
      </w:pPr>
      <w:r>
        <w:t>13. Nonfunctional architecture</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600"/>
        <w:gridCol w:w="3900"/>
        <w:gridCol w:w="3860"/>
      </w:tblGrid>
      <w:tr>
        <w:trPr>
          <w:tblHeader w:val="true"/>
        </w:trPr>
        <w:tc>
          <w:tcPr>
            <w:tcW w:type="dxa" w:w="16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Quality attribute</w:t>
            </w:r>
          </w:p>
        </w:tc>
        <w:tc>
          <w:tcPr>
            <w:tcW w:type="dxa" w:w="39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Current design</w:t>
            </w:r>
          </w:p>
        </w:tc>
        <w:tc>
          <w:tcPr>
            <w:tcW w:type="dxa" w:w="386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Required control</w:t>
            </w:r>
          </w:p>
        </w:tc>
      </w:tr>
      <w:tr>
        <w:tc>
          <w:tcPr>
            <w:tcW w:type="dxa" w:w="1600"/>
          </w:tcPr>
          <w:p>
            <w:pPr>
              <w:spacing w:after="0" w:line="252" w:lineRule="auto"/>
            </w:pPr>
            <w:r>
              <w:rPr>
                <w:rFonts w:ascii="Calibri" w:hAnsi="Calibri"/>
                <w:b w:val="0"/>
                <w:i w:val="0"/>
                <w:color w:val="111111"/>
                <w:sz w:val="16"/>
              </w:rPr>
              <w:t>Availability</w:t>
            </w:r>
          </w:p>
        </w:tc>
        <w:tc>
          <w:tcPr>
            <w:tcW w:type="dxa" w:w="3900"/>
          </w:tcPr>
          <w:p>
            <w:pPr>
              <w:spacing w:after="0" w:line="252" w:lineRule="auto"/>
            </w:pPr>
            <w:r>
              <w:rPr>
                <w:rFonts w:ascii="Calibri" w:hAnsi="Calibri"/>
                <w:b w:val="0"/>
                <w:i w:val="0"/>
                <w:color w:val="111111"/>
                <w:sz w:val="16"/>
              </w:rPr>
              <w:t>Firebase managed services; static hosting remains available independently of custom servers.</w:t>
            </w:r>
          </w:p>
        </w:tc>
        <w:tc>
          <w:tcPr>
            <w:tcW w:type="dxa" w:w="3860"/>
          </w:tcPr>
          <w:p>
            <w:pPr>
              <w:spacing w:after="0" w:line="252" w:lineRule="auto"/>
            </w:pPr>
            <w:r>
              <w:rPr>
                <w:rFonts w:ascii="Calibri" w:hAnsi="Calibri"/>
                <w:b w:val="0"/>
                <w:i w:val="0"/>
                <w:color w:val="111111"/>
                <w:sz w:val="16"/>
              </w:rPr>
              <w:t>Define service objective and status monitoring.</w:t>
            </w:r>
          </w:p>
        </w:tc>
      </w:tr>
      <w:tr>
        <w:tc>
          <w:tcPr>
            <w:tcW w:type="dxa" w:w="1600"/>
          </w:tcPr>
          <w:p>
            <w:pPr>
              <w:spacing w:after="0" w:line="252" w:lineRule="auto"/>
            </w:pPr>
            <w:r>
              <w:rPr>
                <w:rFonts w:ascii="Calibri" w:hAnsi="Calibri"/>
                <w:b w:val="0"/>
                <w:i w:val="0"/>
                <w:color w:val="111111"/>
                <w:sz w:val="16"/>
              </w:rPr>
              <w:t>Performance</w:t>
            </w:r>
          </w:p>
        </w:tc>
        <w:tc>
          <w:tcPr>
            <w:tcW w:type="dxa" w:w="3900"/>
          </w:tcPr>
          <w:p>
            <w:pPr>
              <w:spacing w:after="0" w:line="252" w:lineRule="auto"/>
            </w:pPr>
            <w:r>
              <w:rPr>
                <w:rFonts w:ascii="Calibri" w:hAnsi="Calibri"/>
                <w:b w:val="0"/>
                <w:i w:val="0"/>
                <w:color w:val="111111"/>
                <w:sz w:val="16"/>
              </w:rPr>
              <w:t>Static CDN delivery, lazy modules, Firestore direct reads, indexed queries.</w:t>
            </w:r>
          </w:p>
        </w:tc>
        <w:tc>
          <w:tcPr>
            <w:tcW w:type="dxa" w:w="3860"/>
          </w:tcPr>
          <w:p>
            <w:pPr>
              <w:spacing w:after="0" w:line="252" w:lineRule="auto"/>
            </w:pPr>
            <w:r>
              <w:rPr>
                <w:rFonts w:ascii="Calibri" w:hAnsi="Calibri"/>
                <w:b w:val="0"/>
                <w:i w:val="0"/>
                <w:color w:val="111111"/>
                <w:sz w:val="16"/>
              </w:rPr>
              <w:t>Add query budgets and representative device testing.</w:t>
            </w:r>
          </w:p>
        </w:tc>
      </w:tr>
      <w:tr>
        <w:tc>
          <w:tcPr>
            <w:tcW w:type="dxa" w:w="1600"/>
          </w:tcPr>
          <w:p>
            <w:pPr>
              <w:spacing w:after="0" w:line="252" w:lineRule="auto"/>
            </w:pPr>
            <w:r>
              <w:rPr>
                <w:rFonts w:ascii="Calibri" w:hAnsi="Calibri"/>
                <w:b w:val="0"/>
                <w:i w:val="0"/>
                <w:color w:val="111111"/>
                <w:sz w:val="16"/>
              </w:rPr>
              <w:t>Scalability</w:t>
            </w:r>
          </w:p>
        </w:tc>
        <w:tc>
          <w:tcPr>
            <w:tcW w:type="dxa" w:w="3900"/>
          </w:tcPr>
          <w:p>
            <w:pPr>
              <w:spacing w:after="0" w:line="252" w:lineRule="auto"/>
            </w:pPr>
            <w:r>
              <w:rPr>
                <w:rFonts w:ascii="Calibri" w:hAnsi="Calibri"/>
                <w:b w:val="0"/>
                <w:i w:val="0"/>
                <w:color w:val="111111"/>
                <w:sz w:val="16"/>
              </w:rPr>
              <w:t>Adequate for a small league; denormalized documents and direct reads scale horizontally.</w:t>
            </w:r>
          </w:p>
        </w:tc>
        <w:tc>
          <w:tcPr>
            <w:tcW w:type="dxa" w:w="3860"/>
          </w:tcPr>
          <w:p>
            <w:pPr>
              <w:spacing w:after="0" w:line="252" w:lineRule="auto"/>
            </w:pPr>
            <w:r>
              <w:rPr>
                <w:rFonts w:ascii="Calibri" w:hAnsi="Calibri"/>
                <w:b w:val="0"/>
                <w:i w:val="0"/>
                <w:color w:val="111111"/>
                <w:sz w:val="16"/>
              </w:rPr>
              <w:t>Review read amplification and public projection strategy before multi-league expansion.</w:t>
            </w:r>
          </w:p>
        </w:tc>
      </w:tr>
      <w:tr>
        <w:tc>
          <w:tcPr>
            <w:tcW w:type="dxa" w:w="1600"/>
          </w:tcPr>
          <w:p>
            <w:pPr>
              <w:spacing w:after="0" w:line="252" w:lineRule="auto"/>
            </w:pPr>
            <w:r>
              <w:rPr>
                <w:rFonts w:ascii="Calibri" w:hAnsi="Calibri"/>
                <w:b w:val="0"/>
                <w:i w:val="0"/>
                <w:color w:val="111111"/>
                <w:sz w:val="16"/>
              </w:rPr>
              <w:t>Security</w:t>
            </w:r>
          </w:p>
        </w:tc>
        <w:tc>
          <w:tcPr>
            <w:tcW w:type="dxa" w:w="3900"/>
          </w:tcPr>
          <w:p>
            <w:pPr>
              <w:spacing w:after="0" w:line="252" w:lineRule="auto"/>
            </w:pPr>
            <w:r>
              <w:rPr>
                <w:rFonts w:ascii="Calibri" w:hAnsi="Calibri"/>
                <w:b w:val="0"/>
                <w:i w:val="0"/>
                <w:color w:val="111111"/>
                <w:sz w:val="16"/>
              </w:rPr>
              <w:t>Firebase Auth + Rules + immutable records.</w:t>
            </w:r>
          </w:p>
        </w:tc>
        <w:tc>
          <w:tcPr>
            <w:tcW w:type="dxa" w:w="3860"/>
          </w:tcPr>
          <w:p>
            <w:pPr>
              <w:spacing w:after="0" w:line="252" w:lineRule="auto"/>
            </w:pPr>
            <w:r>
              <w:rPr>
                <w:rFonts w:ascii="Calibri" w:hAnsi="Calibri"/>
                <w:b w:val="0"/>
                <w:i w:val="0"/>
                <w:color w:val="111111"/>
                <w:sz w:val="16"/>
              </w:rPr>
              <w:t>Add App Check, environment separation, custom claims/server controls.</w:t>
            </w:r>
          </w:p>
        </w:tc>
      </w:tr>
      <w:tr>
        <w:tc>
          <w:tcPr>
            <w:tcW w:type="dxa" w:w="1600"/>
          </w:tcPr>
          <w:p>
            <w:pPr>
              <w:spacing w:after="0" w:line="252" w:lineRule="auto"/>
            </w:pPr>
            <w:r>
              <w:rPr>
                <w:rFonts w:ascii="Calibri" w:hAnsi="Calibri"/>
                <w:b w:val="0"/>
                <w:i w:val="0"/>
                <w:color w:val="111111"/>
                <w:sz w:val="16"/>
              </w:rPr>
              <w:t>Privacy</w:t>
            </w:r>
          </w:p>
        </w:tc>
        <w:tc>
          <w:tcPr>
            <w:tcW w:type="dxa" w:w="3900"/>
          </w:tcPr>
          <w:p>
            <w:pPr>
              <w:spacing w:after="0" w:line="252" w:lineRule="auto"/>
            </w:pPr>
            <w:r>
              <w:rPr>
                <w:rFonts w:ascii="Calibri" w:hAnsi="Calibri"/>
                <w:b w:val="0"/>
                <w:i w:val="0"/>
                <w:color w:val="111111"/>
                <w:sz w:val="16"/>
              </w:rPr>
              <w:t>Public/private collections and limited contact access.</w:t>
            </w:r>
          </w:p>
        </w:tc>
        <w:tc>
          <w:tcPr>
            <w:tcW w:type="dxa" w:w="3860"/>
          </w:tcPr>
          <w:p>
            <w:pPr>
              <w:spacing w:after="0" w:line="252" w:lineRule="auto"/>
            </w:pPr>
            <w:r>
              <w:rPr>
                <w:rFonts w:ascii="Calibri" w:hAnsi="Calibri"/>
                <w:b w:val="0"/>
                <w:i w:val="0"/>
                <w:color w:val="111111"/>
                <w:sz w:val="16"/>
              </w:rPr>
              <w:t>Document retention, deletion, and incident procedures.</w:t>
            </w:r>
          </w:p>
        </w:tc>
      </w:tr>
      <w:tr>
        <w:tc>
          <w:tcPr>
            <w:tcW w:type="dxa" w:w="1600"/>
          </w:tcPr>
          <w:p>
            <w:pPr>
              <w:spacing w:after="0" w:line="252" w:lineRule="auto"/>
            </w:pPr>
            <w:r>
              <w:rPr>
                <w:rFonts w:ascii="Calibri" w:hAnsi="Calibri"/>
                <w:b w:val="0"/>
                <w:i w:val="0"/>
                <w:color w:val="111111"/>
                <w:sz w:val="16"/>
              </w:rPr>
              <w:t>Accessibility</w:t>
            </w:r>
          </w:p>
        </w:tc>
        <w:tc>
          <w:tcPr>
            <w:tcW w:type="dxa" w:w="3900"/>
          </w:tcPr>
          <w:p>
            <w:pPr>
              <w:spacing w:after="0" w:line="252" w:lineRule="auto"/>
            </w:pPr>
            <w:r>
              <w:rPr>
                <w:rFonts w:ascii="Calibri" w:hAnsi="Calibri"/>
                <w:b w:val="0"/>
                <w:i w:val="0"/>
                <w:color w:val="111111"/>
                <w:sz w:val="16"/>
              </w:rPr>
              <w:t>Responsive semantic HTML and mobile layout.</w:t>
            </w:r>
          </w:p>
        </w:tc>
        <w:tc>
          <w:tcPr>
            <w:tcW w:type="dxa" w:w="3860"/>
          </w:tcPr>
          <w:p>
            <w:pPr>
              <w:spacing w:after="0" w:line="252" w:lineRule="auto"/>
            </w:pPr>
            <w:r>
              <w:rPr>
                <w:rFonts w:ascii="Calibri" w:hAnsi="Calibri"/>
                <w:b w:val="0"/>
                <w:i w:val="0"/>
                <w:color w:val="111111"/>
                <w:sz w:val="16"/>
              </w:rPr>
              <w:t>Perform formal WCAG 2.2 AA audit and keyboard/screen-reader testing.</w:t>
            </w:r>
          </w:p>
        </w:tc>
      </w:tr>
      <w:tr>
        <w:tc>
          <w:tcPr>
            <w:tcW w:type="dxa" w:w="1600"/>
          </w:tcPr>
          <w:p>
            <w:pPr>
              <w:spacing w:after="0" w:line="252" w:lineRule="auto"/>
            </w:pPr>
            <w:r>
              <w:rPr>
                <w:rFonts w:ascii="Calibri" w:hAnsi="Calibri"/>
                <w:b w:val="0"/>
                <w:i w:val="0"/>
                <w:color w:val="111111"/>
                <w:sz w:val="16"/>
              </w:rPr>
              <w:t>Maintainability</w:t>
            </w:r>
          </w:p>
        </w:tc>
        <w:tc>
          <w:tcPr>
            <w:tcW w:type="dxa" w:w="3900"/>
          </w:tcPr>
          <w:p>
            <w:pPr>
              <w:spacing w:after="0" w:line="252" w:lineRule="auto"/>
            </w:pPr>
            <w:r>
              <w:rPr>
                <w:rFonts w:ascii="Calibri" w:hAnsi="Calibri"/>
                <w:b w:val="0"/>
                <w:i w:val="0"/>
                <w:color w:val="111111"/>
                <w:sz w:val="16"/>
              </w:rPr>
              <w:t>Feature modules and shared workflow service.</w:t>
            </w:r>
          </w:p>
        </w:tc>
        <w:tc>
          <w:tcPr>
            <w:tcW w:type="dxa" w:w="3860"/>
          </w:tcPr>
          <w:p>
            <w:pPr>
              <w:spacing w:after="0" w:line="252" w:lineRule="auto"/>
            </w:pPr>
            <w:r>
              <w:rPr>
                <w:rFonts w:ascii="Calibri" w:hAnsi="Calibri"/>
                <w:b w:val="0"/>
                <w:i w:val="0"/>
                <w:color w:val="111111"/>
                <w:sz w:val="16"/>
              </w:rPr>
              <w:t>Introduce build tooling, linting, typed contracts, and module tests.</w:t>
            </w:r>
          </w:p>
        </w:tc>
      </w:tr>
      <w:tr>
        <w:tc>
          <w:tcPr>
            <w:tcW w:type="dxa" w:w="1600"/>
          </w:tcPr>
          <w:p>
            <w:pPr>
              <w:spacing w:after="0" w:line="252" w:lineRule="auto"/>
            </w:pPr>
            <w:r>
              <w:rPr>
                <w:rFonts w:ascii="Calibri" w:hAnsi="Calibri"/>
                <w:b w:val="0"/>
                <w:i w:val="0"/>
                <w:color w:val="111111"/>
                <w:sz w:val="16"/>
              </w:rPr>
              <w:t>Observability</w:t>
            </w:r>
          </w:p>
        </w:tc>
        <w:tc>
          <w:tcPr>
            <w:tcW w:type="dxa" w:w="3900"/>
          </w:tcPr>
          <w:p>
            <w:pPr>
              <w:spacing w:after="0" w:line="252" w:lineRule="auto"/>
            </w:pPr>
            <w:r>
              <w:rPr>
                <w:rFonts w:ascii="Calibri" w:hAnsi="Calibri"/>
                <w:b w:val="0"/>
                <w:i w:val="0"/>
                <w:color w:val="111111"/>
                <w:sz w:val="16"/>
              </w:rPr>
              <w:t>Browser errors and Firebase console.</w:t>
            </w:r>
          </w:p>
        </w:tc>
        <w:tc>
          <w:tcPr>
            <w:tcW w:type="dxa" w:w="3860"/>
          </w:tcPr>
          <w:p>
            <w:pPr>
              <w:spacing w:after="0" w:line="252" w:lineRule="auto"/>
            </w:pPr>
            <w:r>
              <w:rPr>
                <w:rFonts w:ascii="Calibri" w:hAnsi="Calibri"/>
                <w:b w:val="0"/>
                <w:i w:val="0"/>
                <w:color w:val="111111"/>
                <w:sz w:val="16"/>
              </w:rPr>
              <w:t>Add structured event/error monitoring and deployment traceability.</w:t>
            </w:r>
          </w:p>
        </w:tc>
      </w:tr>
      <w:tr>
        <w:tc>
          <w:tcPr>
            <w:tcW w:type="dxa" w:w="1600"/>
          </w:tcPr>
          <w:p>
            <w:pPr>
              <w:spacing w:after="0" w:line="252" w:lineRule="auto"/>
            </w:pPr>
            <w:r>
              <w:rPr>
                <w:rFonts w:ascii="Calibri" w:hAnsi="Calibri"/>
                <w:b w:val="0"/>
                <w:i w:val="0"/>
                <w:color w:val="111111"/>
                <w:sz w:val="16"/>
              </w:rPr>
              <w:t>Recoverability</w:t>
            </w:r>
          </w:p>
        </w:tc>
        <w:tc>
          <w:tcPr>
            <w:tcW w:type="dxa" w:w="3900"/>
          </w:tcPr>
          <w:p>
            <w:pPr>
              <w:spacing w:after="0" w:line="252" w:lineRule="auto"/>
            </w:pPr>
            <w:r>
              <w:rPr>
                <w:rFonts w:ascii="Calibri" w:hAnsi="Calibri"/>
                <w:b w:val="0"/>
                <w:i w:val="0"/>
                <w:color w:val="111111"/>
                <w:sz w:val="16"/>
              </w:rPr>
              <w:t>Firestore managed durability; immutable history.</w:t>
            </w:r>
          </w:p>
        </w:tc>
        <w:tc>
          <w:tcPr>
            <w:tcW w:type="dxa" w:w="3860"/>
          </w:tcPr>
          <w:p>
            <w:pPr>
              <w:spacing w:after="0" w:line="252" w:lineRule="auto"/>
            </w:pPr>
            <w:r>
              <w:rPr>
                <w:rFonts w:ascii="Calibri" w:hAnsi="Calibri"/>
                <w:b w:val="0"/>
                <w:i w:val="0"/>
                <w:color w:val="111111"/>
                <w:sz w:val="16"/>
              </w:rPr>
              <w:t>Schedule exports/backups and test restore.</w:t>
            </w:r>
          </w:p>
        </w:tc>
      </w:tr>
      <w:tr>
        <w:tc>
          <w:tcPr>
            <w:tcW w:type="dxa" w:w="1600"/>
          </w:tcPr>
          <w:p>
            <w:pPr>
              <w:spacing w:after="0" w:line="252" w:lineRule="auto"/>
            </w:pPr>
            <w:r>
              <w:rPr>
                <w:rFonts w:ascii="Calibri" w:hAnsi="Calibri"/>
                <w:b w:val="0"/>
                <w:i w:val="0"/>
                <w:color w:val="111111"/>
                <w:sz w:val="16"/>
              </w:rPr>
              <w:t>Compatibility</w:t>
            </w:r>
          </w:p>
        </w:tc>
        <w:tc>
          <w:tcPr>
            <w:tcW w:type="dxa" w:w="3900"/>
          </w:tcPr>
          <w:p>
            <w:pPr>
              <w:spacing w:after="0" w:line="252" w:lineRule="auto"/>
            </w:pPr>
            <w:r>
              <w:rPr>
                <w:rFonts w:ascii="Calibri" w:hAnsi="Calibri"/>
                <w:b w:val="0"/>
                <w:i w:val="0"/>
                <w:color w:val="111111"/>
                <w:sz w:val="16"/>
              </w:rPr>
              <w:t>Modern iOS/Android/desktop browsers; PWA manifest.</w:t>
            </w:r>
          </w:p>
        </w:tc>
        <w:tc>
          <w:tcPr>
            <w:tcW w:type="dxa" w:w="3860"/>
          </w:tcPr>
          <w:p>
            <w:pPr>
              <w:spacing w:after="0" w:line="252" w:lineRule="auto"/>
            </w:pPr>
            <w:r>
              <w:rPr>
                <w:rFonts w:ascii="Calibri" w:hAnsi="Calibri"/>
                <w:b w:val="0"/>
                <w:i w:val="0"/>
                <w:color w:val="111111"/>
                <w:sz w:val="16"/>
              </w:rPr>
              <w:t>Maintain supported-browser matrix.</w:t>
            </w:r>
          </w:p>
        </w:tc>
      </w:tr>
    </w:tbl>
    <w:p>
      <w:pPr>
        <w:spacing w:after="40"/>
      </w:pPr>
    </w:p>
    <w:p>
      <w:pPr>
        <w:pStyle w:val="Heading2"/>
        <w:keepNext/>
      </w:pPr>
      <w:r>
        <w:t>13.1 Data retention and recovery</w:t>
      </w:r>
    </w:p>
    <w:p>
      <w:pPr>
        <w:pStyle w:val="ListBullet"/>
      </w:pPr>
      <w:r>
        <w:rPr>
          <w:rFonts w:ascii="Calibri" w:hAnsi="Calibri"/>
          <w:b w:val="0"/>
          <w:i w:val="0"/>
          <w:color w:val="111111"/>
          <w:sz w:val="22"/>
        </w:rPr>
        <w:t>Submitted lineup revisions and official workflow actions should be retained for the full league-history period.</w:t>
      </w:r>
    </w:p>
    <w:p>
      <w:pPr>
        <w:pStyle w:val="ListBullet"/>
      </w:pPr>
      <w:r>
        <w:rPr>
          <w:rFonts w:ascii="Calibri" w:hAnsi="Calibri"/>
          <w:b w:val="0"/>
          <w:i w:val="0"/>
          <w:color w:val="111111"/>
          <w:sz w:val="22"/>
        </w:rPr>
        <w:t>Private player data should follow a documented retention and correction policy.</w:t>
      </w:r>
    </w:p>
    <w:p>
      <w:pPr>
        <w:pStyle w:val="ListBullet"/>
      </w:pPr>
      <w:r>
        <w:rPr>
          <w:rFonts w:ascii="Calibri" w:hAnsi="Calibri"/>
          <w:b w:val="0"/>
          <w:i w:val="0"/>
          <w:color w:val="111111"/>
          <w:sz w:val="22"/>
        </w:rPr>
        <w:t>Season reset must preserve the season root and immutable audit evidence while deleting explicitly scoped descendants.</w:t>
      </w:r>
    </w:p>
    <w:p>
      <w:pPr>
        <w:pStyle w:val="ListBullet"/>
      </w:pPr>
      <w:r>
        <w:rPr>
          <w:rFonts w:ascii="Calibri" w:hAnsi="Calibri"/>
          <w:b w:val="0"/>
          <w:i w:val="0"/>
          <w:color w:val="111111"/>
          <w:sz w:val="22"/>
        </w:rPr>
        <w:t>Production Firestore export and restore procedures should be exercised before the next season launch.</w:t>
      </w:r>
    </w:p>
    <w:p>
      <w:pPr>
        <w:pStyle w:val="Heading1"/>
        <w:keepNext/>
      </w:pPr>
      <w:r>
        <w:t>14. Testing and architecture assurance</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900"/>
        <w:gridCol w:w="3000"/>
        <w:gridCol w:w="4460"/>
      </w:tblGrid>
      <w:tr>
        <w:trPr>
          <w:tblHeader w:val="true"/>
        </w:trPr>
        <w:tc>
          <w:tcPr>
            <w:tcW w:type="dxa" w:w="19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Assurance layer</w:t>
            </w:r>
          </w:p>
        </w:tc>
        <w:tc>
          <w:tcPr>
            <w:tcW w:type="dxa" w:w="30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Mechanism</w:t>
            </w:r>
          </w:p>
        </w:tc>
        <w:tc>
          <w:tcPr>
            <w:tcW w:type="dxa" w:w="44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Coverage</w:t>
            </w:r>
          </w:p>
        </w:tc>
      </w:tr>
      <w:tr>
        <w:tc>
          <w:tcPr>
            <w:tcW w:type="dxa" w:w="1900"/>
          </w:tcPr>
          <w:p>
            <w:pPr>
              <w:spacing w:after="0" w:line="252" w:lineRule="auto"/>
            </w:pPr>
            <w:r>
              <w:rPr>
                <w:rFonts w:ascii="Calibri" w:hAnsi="Calibri"/>
                <w:b w:val="0"/>
                <w:i w:val="0"/>
                <w:color w:val="111111"/>
                <w:sz w:val="17"/>
              </w:rPr>
              <w:t>Static application contract</w:t>
            </w:r>
          </w:p>
        </w:tc>
        <w:tc>
          <w:tcPr>
            <w:tcW w:type="dxa" w:w="3000"/>
          </w:tcPr>
          <w:p>
            <w:pPr>
              <w:spacing w:after="0" w:line="252" w:lineRule="auto"/>
            </w:pPr>
            <w:r>
              <w:rPr>
                <w:rFonts w:ascii="Calibri" w:hAnsi="Calibri"/>
                <w:b w:val="0"/>
                <w:i w:val="0"/>
                <w:color w:val="111111"/>
                <w:sz w:val="17"/>
              </w:rPr>
              <w:t>test-prototype.mjs</w:t>
            </w:r>
          </w:p>
        </w:tc>
        <w:tc>
          <w:tcPr>
            <w:tcW w:type="dxa" w:w="4460"/>
          </w:tcPr>
          <w:p>
            <w:pPr>
              <w:spacing w:after="0" w:line="252" w:lineRule="auto"/>
            </w:pPr>
            <w:r>
              <w:rPr>
                <w:rFonts w:ascii="Calibri" w:hAnsi="Calibri"/>
                <w:b w:val="0"/>
                <w:i w:val="0"/>
                <w:color w:val="111111"/>
                <w:sz w:val="17"/>
              </w:rPr>
              <w:t>Routes, views, modules, PWA, encoding, score rules, lineup service usage.</w:t>
            </w:r>
          </w:p>
        </w:tc>
      </w:tr>
      <w:tr>
        <w:tc>
          <w:tcPr>
            <w:tcW w:type="dxa" w:w="1900"/>
          </w:tcPr>
          <w:p>
            <w:pPr>
              <w:spacing w:after="0" w:line="252" w:lineRule="auto"/>
            </w:pPr>
            <w:r>
              <w:rPr>
                <w:rFonts w:ascii="Calibri" w:hAnsi="Calibri"/>
                <w:b w:val="0"/>
                <w:i w:val="0"/>
                <w:color w:val="111111"/>
                <w:sz w:val="17"/>
              </w:rPr>
              <w:t>Workflow logic</w:t>
            </w:r>
          </w:p>
        </w:tc>
        <w:tc>
          <w:tcPr>
            <w:tcW w:type="dxa" w:w="3000"/>
          </w:tcPr>
          <w:p>
            <w:pPr>
              <w:spacing w:after="0" w:line="252" w:lineRule="auto"/>
            </w:pPr>
            <w:r>
              <w:rPr>
                <w:rFonts w:ascii="Calibri" w:hAnsi="Calibri"/>
                <w:b w:val="0"/>
                <w:i w:val="0"/>
                <w:color w:val="111111"/>
                <w:sz w:val="17"/>
              </w:rPr>
              <w:t>functions/test/workflow.test.js</w:t>
            </w:r>
          </w:p>
        </w:tc>
        <w:tc>
          <w:tcPr>
            <w:tcW w:type="dxa" w:w="4460"/>
          </w:tcPr>
          <w:p>
            <w:pPr>
              <w:spacing w:after="0" w:line="252" w:lineRule="auto"/>
            </w:pPr>
            <w:r>
              <w:rPr>
                <w:rFonts w:ascii="Calibri" w:hAnsi="Calibri"/>
                <w:b w:val="0"/>
                <w:i w:val="0"/>
                <w:color w:val="111111"/>
                <w:sz w:val="17"/>
              </w:rPr>
              <w:t>Status derivation, five-line validation, score-activity detection.</w:t>
            </w:r>
          </w:p>
        </w:tc>
      </w:tr>
      <w:tr>
        <w:tc>
          <w:tcPr>
            <w:tcW w:type="dxa" w:w="1900"/>
          </w:tcPr>
          <w:p>
            <w:pPr>
              <w:spacing w:after="0" w:line="252" w:lineRule="auto"/>
            </w:pPr>
            <w:r>
              <w:rPr>
                <w:rFonts w:ascii="Calibri" w:hAnsi="Calibri"/>
                <w:b w:val="0"/>
                <w:i w:val="0"/>
                <w:color w:val="111111"/>
                <w:sz w:val="17"/>
              </w:rPr>
              <w:t>Rules compilation</w:t>
            </w:r>
          </w:p>
        </w:tc>
        <w:tc>
          <w:tcPr>
            <w:tcW w:type="dxa" w:w="3000"/>
          </w:tcPr>
          <w:p>
            <w:pPr>
              <w:spacing w:after="0" w:line="252" w:lineRule="auto"/>
            </w:pPr>
            <w:r>
              <w:rPr>
                <w:rFonts w:ascii="Calibri" w:hAnsi="Calibri"/>
                <w:b w:val="0"/>
                <w:i w:val="0"/>
                <w:color w:val="111111"/>
                <w:sz w:val="17"/>
              </w:rPr>
              <w:t>Firebase Firestore emulator</w:t>
            </w:r>
          </w:p>
        </w:tc>
        <w:tc>
          <w:tcPr>
            <w:tcW w:type="dxa" w:w="4460"/>
          </w:tcPr>
          <w:p>
            <w:pPr>
              <w:spacing w:after="0" w:line="252" w:lineRule="auto"/>
            </w:pPr>
            <w:r>
              <w:rPr>
                <w:rFonts w:ascii="Calibri" w:hAnsi="Calibri"/>
                <w:b w:val="0"/>
                <w:i w:val="0"/>
                <w:color w:val="111111"/>
                <w:sz w:val="17"/>
              </w:rPr>
              <w:t>Production rules compile without errors.</w:t>
            </w:r>
          </w:p>
        </w:tc>
      </w:tr>
      <w:tr>
        <w:tc>
          <w:tcPr>
            <w:tcW w:type="dxa" w:w="1900"/>
          </w:tcPr>
          <w:p>
            <w:pPr>
              <w:spacing w:after="0" w:line="252" w:lineRule="auto"/>
            </w:pPr>
            <w:r>
              <w:rPr>
                <w:rFonts w:ascii="Calibri" w:hAnsi="Calibri"/>
                <w:b w:val="0"/>
                <w:i w:val="0"/>
                <w:color w:val="111111"/>
                <w:sz w:val="17"/>
              </w:rPr>
              <w:t>Role/workflow integration</w:t>
            </w:r>
          </w:p>
        </w:tc>
        <w:tc>
          <w:tcPr>
            <w:tcW w:type="dxa" w:w="3000"/>
          </w:tcPr>
          <w:p>
            <w:pPr>
              <w:spacing w:after="0" w:line="252" w:lineRule="auto"/>
            </w:pPr>
            <w:r>
              <w:rPr>
                <w:rFonts w:ascii="Calibri" w:hAnsi="Calibri"/>
                <w:b w:val="0"/>
                <w:i w:val="0"/>
                <w:color w:val="111111"/>
                <w:sz w:val="17"/>
              </w:rPr>
              <w:t>spark-workflow-rules-test.mjs</w:t>
            </w:r>
          </w:p>
        </w:tc>
        <w:tc>
          <w:tcPr>
            <w:tcW w:type="dxa" w:w="4460"/>
          </w:tcPr>
          <w:p>
            <w:pPr>
              <w:spacing w:after="0" w:line="252" w:lineRule="auto"/>
            </w:pPr>
            <w:r>
              <w:rPr>
                <w:rFonts w:ascii="Calibri" w:hAnsi="Calibri"/>
                <w:b w:val="0"/>
                <w:i w:val="0"/>
                <w:color w:val="111111"/>
                <w:sz w:val="17"/>
              </w:rPr>
              <w:t>Submission, Captain approval denial, one-sided approval, full approval, reset.</w:t>
            </w:r>
          </w:p>
        </w:tc>
      </w:tr>
      <w:tr>
        <w:tc>
          <w:tcPr>
            <w:tcW w:type="dxa" w:w="1900"/>
          </w:tcPr>
          <w:p>
            <w:pPr>
              <w:spacing w:after="0" w:line="252" w:lineRule="auto"/>
            </w:pPr>
            <w:r>
              <w:rPr>
                <w:rFonts w:ascii="Calibri" w:hAnsi="Calibri"/>
                <w:b w:val="0"/>
                <w:i w:val="0"/>
                <w:color w:val="111111"/>
                <w:sz w:val="17"/>
              </w:rPr>
              <w:t>Browser smoke test</w:t>
            </w:r>
          </w:p>
        </w:tc>
        <w:tc>
          <w:tcPr>
            <w:tcW w:type="dxa" w:w="3000"/>
          </w:tcPr>
          <w:p>
            <w:pPr>
              <w:spacing w:after="0" w:line="252" w:lineRule="auto"/>
            </w:pPr>
            <w:r>
              <w:rPr>
                <w:rFonts w:ascii="Calibri" w:hAnsi="Calibri"/>
                <w:b w:val="0"/>
                <w:i w:val="0"/>
                <w:color w:val="111111"/>
                <w:sz w:val="17"/>
              </w:rPr>
              <w:t>Local hosted application</w:t>
            </w:r>
          </w:p>
        </w:tc>
        <w:tc>
          <w:tcPr>
            <w:tcW w:type="dxa" w:w="4460"/>
          </w:tcPr>
          <w:p>
            <w:pPr>
              <w:spacing w:after="0" w:line="252" w:lineRule="auto"/>
            </w:pPr>
            <w:r>
              <w:rPr>
                <w:rFonts w:ascii="Calibri" w:hAnsi="Calibri"/>
                <w:b w:val="0"/>
                <w:i w:val="0"/>
                <w:color w:val="111111"/>
                <w:sz w:val="17"/>
              </w:rPr>
              <w:t>Required views and versioned modules load without console errors.</w:t>
            </w:r>
          </w:p>
        </w:tc>
      </w:tr>
      <w:tr>
        <w:tc>
          <w:tcPr>
            <w:tcW w:type="dxa" w:w="1900"/>
          </w:tcPr>
          <w:p>
            <w:pPr>
              <w:spacing w:after="0" w:line="252" w:lineRule="auto"/>
            </w:pPr>
            <w:r>
              <w:rPr>
                <w:rFonts w:ascii="Calibri" w:hAnsi="Calibri"/>
                <w:b w:val="0"/>
                <w:i w:val="0"/>
                <w:color w:val="111111"/>
                <w:sz w:val="17"/>
              </w:rPr>
              <w:t>Production verification</w:t>
            </w:r>
          </w:p>
        </w:tc>
        <w:tc>
          <w:tcPr>
            <w:tcW w:type="dxa" w:w="3000"/>
          </w:tcPr>
          <w:p>
            <w:pPr>
              <w:spacing w:after="0" w:line="252" w:lineRule="auto"/>
            </w:pPr>
            <w:r>
              <w:rPr>
                <w:rFonts w:ascii="Calibri" w:hAnsi="Calibri"/>
                <w:b w:val="0"/>
                <w:i w:val="0"/>
                <w:color w:val="111111"/>
                <w:sz w:val="17"/>
              </w:rPr>
              <w:t>Firebase deploy output and HTTPS request</w:t>
            </w:r>
          </w:p>
        </w:tc>
        <w:tc>
          <w:tcPr>
            <w:tcW w:type="dxa" w:w="4460"/>
          </w:tcPr>
          <w:p>
            <w:pPr>
              <w:spacing w:after="0" w:line="252" w:lineRule="auto"/>
            </w:pPr>
            <w:r>
              <w:rPr>
                <w:rFonts w:ascii="Calibri" w:hAnsi="Calibri"/>
                <w:b w:val="0"/>
                <w:i w:val="0"/>
                <w:color w:val="111111"/>
                <w:sz w:val="17"/>
              </w:rPr>
              <w:t>Hosting/rules released; live response is HTTP 200.</w:t>
            </w:r>
          </w:p>
        </w:tc>
      </w:tr>
    </w:tbl>
    <w:p>
      <w:pPr>
        <w:spacing w:after="40"/>
      </w:pPr>
    </w:p>
    <w:p>
      <w:pPr>
        <w:pStyle w:val="Heading2"/>
        <w:keepNext/>
      </w:pPr>
      <w:r>
        <w:t>14.1 Required pre-release gates</w:t>
      </w:r>
    </w:p>
    <w:p>
      <w:pPr>
        <w:pStyle w:val="ListBullet"/>
      </w:pPr>
      <w:r>
        <w:rPr>
          <w:rFonts w:ascii="Calibri" w:hAnsi="Calibri"/>
          <w:b w:val="0"/>
          <w:i w:val="0"/>
          <w:color w:val="111111"/>
          <w:sz w:val="22"/>
        </w:rPr>
        <w:t>All JavaScript syntax and static contract tests pass.</w:t>
      </w:r>
    </w:p>
    <w:p>
      <w:pPr>
        <w:pStyle w:val="ListBullet"/>
      </w:pPr>
      <w:r>
        <w:rPr>
          <w:rFonts w:ascii="Calibri" w:hAnsi="Calibri"/>
          <w:b w:val="0"/>
          <w:i w:val="0"/>
          <w:color w:val="111111"/>
          <w:sz w:val="22"/>
        </w:rPr>
        <w:t>Firestore Rules compile and the Spark workflow emulator test passes.</w:t>
      </w:r>
    </w:p>
    <w:p>
      <w:pPr>
        <w:pStyle w:val="ListBullet"/>
      </w:pPr>
      <w:r>
        <w:rPr>
          <w:rFonts w:ascii="Calibri" w:hAnsi="Calibri"/>
          <w:b w:val="0"/>
          <w:i w:val="0"/>
          <w:color w:val="111111"/>
          <w:sz w:val="22"/>
        </w:rPr>
        <w:t>Rules changes receive security-focused peer review.</w:t>
      </w:r>
    </w:p>
    <w:p>
      <w:pPr>
        <w:pStyle w:val="ListBullet"/>
      </w:pPr>
      <w:r>
        <w:rPr>
          <w:rFonts w:ascii="Calibri" w:hAnsi="Calibri"/>
          <w:b w:val="0"/>
          <w:i w:val="0"/>
          <w:color w:val="111111"/>
          <w:sz w:val="22"/>
        </w:rPr>
        <w:t>Representative Captain, Approver, EC, and Super Admin user journeys pass in a non-production Firebase project.</w:t>
      </w:r>
    </w:p>
    <w:p>
      <w:pPr>
        <w:pStyle w:val="ListBullet"/>
      </w:pPr>
      <w:r>
        <w:rPr>
          <w:rFonts w:ascii="Calibri" w:hAnsi="Calibri"/>
          <w:b w:val="0"/>
          <w:i w:val="0"/>
          <w:color w:val="111111"/>
          <w:sz w:val="22"/>
        </w:rPr>
        <w:t>PWA cache version and module query versions are advanced when deployable assets change.</w:t>
      </w:r>
    </w:p>
    <w:p>
      <w:pPr>
        <w:pStyle w:val="ListBullet"/>
      </w:pPr>
      <w:r>
        <w:rPr>
          <w:rFonts w:ascii="Calibri" w:hAnsi="Calibri"/>
          <w:b w:val="0"/>
          <w:i w:val="0"/>
          <w:color w:val="111111"/>
          <w:sz w:val="22"/>
        </w:rPr>
        <w:t>Production smoke test confirms route load, authentication, and read/write permission behavior.</w:t>
      </w:r>
    </w:p>
    <w:p>
      <w:pPr>
        <w:pStyle w:val="Heading1"/>
        <w:keepNext/>
      </w:pPr>
      <w:r>
        <w:t>15. Risks, conditions, and technical debt</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600"/>
        <w:gridCol w:w="800"/>
        <w:gridCol w:w="2350"/>
        <w:gridCol w:w="2450"/>
        <w:gridCol w:w="3160"/>
      </w:tblGrid>
      <w:tr>
        <w:trPr>
          <w:tblHeader w:val="true"/>
        </w:trPr>
        <w:tc>
          <w:tcPr>
            <w:tcW w:type="dxa" w:w="600"/>
            <w:tcMar>
              <w:top w:w="80" w:type="dxa"/>
              <w:start w:w="120" w:type="dxa"/>
              <w:bottom w:w="80" w:type="dxa"/>
              <w:end w:w="120" w:type="dxa"/>
            </w:tcMar>
            <w:vAlign w:val="center"/>
            <w:shd w:fill="F2F4F7"/>
          </w:tcPr>
          <w:p>
            <w:pPr>
              <w:spacing w:after="0" w:line="252" w:lineRule="auto"/>
            </w:pPr>
            <w:r>
              <w:rPr>
                <w:rFonts w:ascii="Calibri" w:hAnsi="Calibri"/>
                <w:b/>
                <w:i w:val="0"/>
                <w:color w:val="0B2545"/>
                <w:sz w:val="14"/>
              </w:rPr>
              <w:t>ID</w:t>
            </w:r>
          </w:p>
        </w:tc>
        <w:tc>
          <w:tcPr>
            <w:tcW w:type="dxa" w:w="800"/>
            <w:tcMar>
              <w:top w:w="80" w:type="dxa"/>
              <w:start w:w="120" w:type="dxa"/>
              <w:bottom w:w="80" w:type="dxa"/>
              <w:end w:w="120" w:type="dxa"/>
            </w:tcMar>
            <w:vAlign w:val="center"/>
            <w:shd w:fill="F2F4F7"/>
          </w:tcPr>
          <w:p>
            <w:pPr>
              <w:spacing w:after="0" w:line="252" w:lineRule="auto"/>
            </w:pPr>
            <w:r>
              <w:rPr>
                <w:rFonts w:ascii="Calibri" w:hAnsi="Calibri"/>
                <w:b/>
                <w:i w:val="0"/>
                <w:color w:val="0B2545"/>
                <w:sz w:val="14"/>
              </w:rPr>
              <w:t>Rating</w:t>
            </w:r>
          </w:p>
        </w:tc>
        <w:tc>
          <w:tcPr>
            <w:tcW w:type="dxa" w:w="2350"/>
            <w:tcMar>
              <w:top w:w="80" w:type="dxa"/>
              <w:start w:w="120" w:type="dxa"/>
              <w:bottom w:w="80" w:type="dxa"/>
              <w:end w:w="120" w:type="dxa"/>
            </w:tcMar>
            <w:vAlign w:val="center"/>
            <w:shd w:fill="F2F4F7"/>
          </w:tcPr>
          <w:p>
            <w:pPr>
              <w:spacing w:after="0" w:line="252" w:lineRule="auto"/>
            </w:pPr>
            <w:r>
              <w:rPr>
                <w:rFonts w:ascii="Calibri" w:hAnsi="Calibri"/>
                <w:b/>
                <w:i w:val="0"/>
                <w:color w:val="0B2545"/>
                <w:sz w:val="14"/>
              </w:rPr>
              <w:t>Risk</w:t>
            </w:r>
          </w:p>
        </w:tc>
        <w:tc>
          <w:tcPr>
            <w:tcW w:type="dxa" w:w="2450"/>
            <w:tcMar>
              <w:top w:w="80" w:type="dxa"/>
              <w:start w:w="120" w:type="dxa"/>
              <w:bottom w:w="80" w:type="dxa"/>
              <w:end w:w="120" w:type="dxa"/>
            </w:tcMar>
            <w:vAlign w:val="center"/>
            <w:shd w:fill="F2F4F7"/>
          </w:tcPr>
          <w:p>
            <w:pPr>
              <w:spacing w:after="0" w:line="252" w:lineRule="auto"/>
            </w:pPr>
            <w:r>
              <w:rPr>
                <w:rFonts w:ascii="Calibri" w:hAnsi="Calibri"/>
                <w:b/>
                <w:i w:val="0"/>
                <w:color w:val="0B2545"/>
                <w:sz w:val="14"/>
              </w:rPr>
              <w:t>Impact</w:t>
            </w:r>
          </w:p>
        </w:tc>
        <w:tc>
          <w:tcPr>
            <w:tcW w:type="dxa" w:w="3160"/>
            <w:tcMar>
              <w:top w:w="80" w:type="dxa"/>
              <w:start w:w="120" w:type="dxa"/>
              <w:bottom w:w="80" w:type="dxa"/>
              <w:end w:w="120" w:type="dxa"/>
            </w:tcMar>
            <w:vAlign w:val="center"/>
            <w:shd w:fill="F2F4F7"/>
          </w:tcPr>
          <w:p>
            <w:pPr>
              <w:spacing w:after="0" w:line="252" w:lineRule="auto"/>
            </w:pPr>
            <w:r>
              <w:rPr>
                <w:rFonts w:ascii="Calibri" w:hAnsi="Calibri"/>
                <w:b/>
                <w:i w:val="0"/>
                <w:color w:val="0B2545"/>
                <w:sz w:val="14"/>
              </w:rPr>
              <w:t>Treatment</w:t>
            </w:r>
          </w:p>
        </w:tc>
      </w:tr>
      <w:tr>
        <w:tc>
          <w:tcPr>
            <w:tcW w:type="dxa" w:w="600"/>
          </w:tcPr>
          <w:p>
            <w:pPr>
              <w:spacing w:after="0" w:line="252" w:lineRule="auto"/>
            </w:pPr>
            <w:r>
              <w:rPr>
                <w:rFonts w:ascii="Calibri" w:hAnsi="Calibri"/>
                <w:b w:val="0"/>
                <w:i w:val="0"/>
                <w:color w:val="111111"/>
                <w:sz w:val="14"/>
              </w:rPr>
              <w:t>R1</w:t>
            </w:r>
          </w:p>
        </w:tc>
        <w:tc>
          <w:tcPr>
            <w:tcW w:type="dxa" w:w="800"/>
          </w:tcPr>
          <w:p>
            <w:pPr>
              <w:spacing w:after="0" w:line="252" w:lineRule="auto"/>
            </w:pPr>
            <w:r>
              <w:rPr>
                <w:rFonts w:ascii="Calibri" w:hAnsi="Calibri"/>
                <w:b w:val="0"/>
                <w:i w:val="0"/>
                <w:color w:val="111111"/>
                <w:sz w:val="14"/>
              </w:rPr>
              <w:t>High</w:t>
            </w:r>
          </w:p>
        </w:tc>
        <w:tc>
          <w:tcPr>
            <w:tcW w:type="dxa" w:w="2350"/>
          </w:tcPr>
          <w:p>
            <w:pPr>
              <w:spacing w:after="0" w:line="252" w:lineRule="auto"/>
            </w:pPr>
            <w:r>
              <w:rPr>
                <w:rFonts w:ascii="Calibri" w:hAnsi="Calibri"/>
                <w:b w:val="0"/>
                <w:i w:val="0"/>
                <w:color w:val="111111"/>
                <w:sz w:val="14"/>
              </w:rPr>
              <w:t>Privileged workflow logic executes in browser</w:t>
            </w:r>
          </w:p>
        </w:tc>
        <w:tc>
          <w:tcPr>
            <w:tcW w:type="dxa" w:w="2450"/>
          </w:tcPr>
          <w:p>
            <w:pPr>
              <w:spacing w:after="0" w:line="252" w:lineRule="auto"/>
            </w:pPr>
            <w:r>
              <w:rPr>
                <w:rFonts w:ascii="Calibri" w:hAnsi="Calibri"/>
                <w:b w:val="0"/>
                <w:i w:val="0"/>
                <w:color w:val="111111"/>
                <w:sz w:val="14"/>
              </w:rPr>
              <w:t>Direct SDK callers may attempt crafted writes; Rules are the only enforcement tier.</w:t>
            </w:r>
          </w:p>
        </w:tc>
        <w:tc>
          <w:tcPr>
            <w:tcW w:type="dxa" w:w="3160"/>
          </w:tcPr>
          <w:p>
            <w:pPr>
              <w:spacing w:after="0" w:line="252" w:lineRule="auto"/>
            </w:pPr>
            <w:r>
              <w:rPr>
                <w:rFonts w:ascii="Calibri" w:hAnsi="Calibri"/>
                <w:b w:val="0"/>
                <w:i w:val="0"/>
                <w:color w:val="111111"/>
                <w:sz w:val="14"/>
              </w:rPr>
              <w:t>Retain emulator tests; migrate protected mutations to Cloud Functions when trigger is met.</w:t>
            </w:r>
          </w:p>
        </w:tc>
      </w:tr>
      <w:tr>
        <w:tc>
          <w:tcPr>
            <w:tcW w:type="dxa" w:w="600"/>
          </w:tcPr>
          <w:p>
            <w:pPr>
              <w:spacing w:after="0" w:line="252" w:lineRule="auto"/>
            </w:pPr>
            <w:r>
              <w:rPr>
                <w:rFonts w:ascii="Calibri" w:hAnsi="Calibri"/>
                <w:b w:val="0"/>
                <w:i w:val="0"/>
                <w:color w:val="111111"/>
                <w:sz w:val="14"/>
              </w:rPr>
              <w:t>R2</w:t>
            </w:r>
          </w:p>
        </w:tc>
        <w:tc>
          <w:tcPr>
            <w:tcW w:type="dxa" w:w="800"/>
          </w:tcPr>
          <w:p>
            <w:pPr>
              <w:spacing w:after="0" w:line="252" w:lineRule="auto"/>
            </w:pPr>
            <w:r>
              <w:rPr>
                <w:rFonts w:ascii="Calibri" w:hAnsi="Calibri"/>
                <w:b w:val="0"/>
                <w:i w:val="0"/>
                <w:color w:val="111111"/>
                <w:sz w:val="14"/>
              </w:rPr>
              <w:t>High</w:t>
            </w:r>
          </w:p>
        </w:tc>
        <w:tc>
          <w:tcPr>
            <w:tcW w:type="dxa" w:w="2350"/>
          </w:tcPr>
          <w:p>
            <w:pPr>
              <w:spacing w:after="0" w:line="252" w:lineRule="auto"/>
            </w:pPr>
            <w:r>
              <w:rPr>
                <w:rFonts w:ascii="Calibri" w:hAnsi="Calibri"/>
                <w:b w:val="0"/>
                <w:i w:val="0"/>
                <w:color w:val="111111"/>
                <w:sz w:val="14"/>
              </w:rPr>
              <w:t>Exceptional reset score check is application-enforced</w:t>
            </w:r>
          </w:p>
        </w:tc>
        <w:tc>
          <w:tcPr>
            <w:tcW w:type="dxa" w:w="2450"/>
          </w:tcPr>
          <w:p>
            <w:pPr>
              <w:spacing w:after="0" w:line="252" w:lineRule="auto"/>
            </w:pPr>
            <w:r>
              <w:rPr>
                <w:rFonts w:ascii="Calibri" w:hAnsi="Calibri"/>
                <w:b w:val="0"/>
                <w:i w:val="0"/>
                <w:color w:val="111111"/>
                <w:sz w:val="14"/>
              </w:rPr>
              <w:t>A deliberately modified privileged client could omit a scored line.</w:t>
            </w:r>
          </w:p>
        </w:tc>
        <w:tc>
          <w:tcPr>
            <w:tcW w:type="dxa" w:w="3160"/>
          </w:tcPr>
          <w:p>
            <w:pPr>
              <w:spacing w:after="0" w:line="252" w:lineRule="auto"/>
            </w:pPr>
            <w:r>
              <w:rPr>
                <w:rFonts w:ascii="Calibri" w:hAnsi="Calibri"/>
                <w:b w:val="0"/>
                <w:i w:val="0"/>
                <w:color w:val="111111"/>
                <w:sz w:val="14"/>
              </w:rPr>
              <w:t>Trusted-role restriction now; move validation to server on Blaze.</w:t>
            </w:r>
          </w:p>
        </w:tc>
      </w:tr>
      <w:tr>
        <w:tc>
          <w:tcPr>
            <w:tcW w:type="dxa" w:w="600"/>
          </w:tcPr>
          <w:p>
            <w:pPr>
              <w:spacing w:after="0" w:line="252" w:lineRule="auto"/>
            </w:pPr>
            <w:r>
              <w:rPr>
                <w:rFonts w:ascii="Calibri" w:hAnsi="Calibri"/>
                <w:b w:val="0"/>
                <w:i w:val="0"/>
                <w:color w:val="111111"/>
                <w:sz w:val="14"/>
              </w:rPr>
              <w:t>R3</w:t>
            </w:r>
          </w:p>
        </w:tc>
        <w:tc>
          <w:tcPr>
            <w:tcW w:type="dxa" w:w="800"/>
          </w:tcPr>
          <w:p>
            <w:pPr>
              <w:spacing w:after="0" w:line="252" w:lineRule="auto"/>
            </w:pPr>
            <w:r>
              <w:rPr>
                <w:rFonts w:ascii="Calibri" w:hAnsi="Calibri"/>
                <w:b w:val="0"/>
                <w:i w:val="0"/>
                <w:color w:val="111111"/>
                <w:sz w:val="14"/>
              </w:rPr>
              <w:t>High</w:t>
            </w:r>
          </w:p>
        </w:tc>
        <w:tc>
          <w:tcPr>
            <w:tcW w:type="dxa" w:w="2350"/>
          </w:tcPr>
          <w:p>
            <w:pPr>
              <w:spacing w:after="0" w:line="252" w:lineRule="auto"/>
            </w:pPr>
            <w:r>
              <w:rPr>
                <w:rFonts w:ascii="Calibri" w:hAnsi="Calibri"/>
                <w:b w:val="0"/>
                <w:i w:val="0"/>
                <w:color w:val="111111"/>
                <w:sz w:val="14"/>
              </w:rPr>
              <w:t>Single Firebase environment</w:t>
            </w:r>
          </w:p>
        </w:tc>
        <w:tc>
          <w:tcPr>
            <w:tcW w:type="dxa" w:w="2450"/>
          </w:tcPr>
          <w:p>
            <w:pPr>
              <w:spacing w:after="0" w:line="252" w:lineRule="auto"/>
            </w:pPr>
            <w:r>
              <w:rPr>
                <w:rFonts w:ascii="Calibri" w:hAnsi="Calibri"/>
                <w:b w:val="0"/>
                <w:i w:val="0"/>
                <w:color w:val="111111"/>
                <w:sz w:val="14"/>
              </w:rPr>
              <w:t>Testing or administrative mistakes can affect production data.</w:t>
            </w:r>
          </w:p>
        </w:tc>
        <w:tc>
          <w:tcPr>
            <w:tcW w:type="dxa" w:w="3160"/>
          </w:tcPr>
          <w:p>
            <w:pPr>
              <w:spacing w:after="0" w:line="252" w:lineRule="auto"/>
            </w:pPr>
            <w:r>
              <w:rPr>
                <w:rFonts w:ascii="Calibri" w:hAnsi="Calibri"/>
                <w:b w:val="0"/>
                <w:i w:val="0"/>
                <w:color w:val="111111"/>
                <w:sz w:val="14"/>
              </w:rPr>
              <w:t>Create separate dev/test and production projects.</w:t>
            </w:r>
          </w:p>
        </w:tc>
      </w:tr>
      <w:tr>
        <w:tc>
          <w:tcPr>
            <w:tcW w:type="dxa" w:w="600"/>
          </w:tcPr>
          <w:p>
            <w:pPr>
              <w:spacing w:after="0" w:line="252" w:lineRule="auto"/>
            </w:pPr>
            <w:r>
              <w:rPr>
                <w:rFonts w:ascii="Calibri" w:hAnsi="Calibri"/>
                <w:b w:val="0"/>
                <w:i w:val="0"/>
                <w:color w:val="111111"/>
                <w:sz w:val="14"/>
              </w:rPr>
              <w:t>R4</w:t>
            </w:r>
          </w:p>
        </w:tc>
        <w:tc>
          <w:tcPr>
            <w:tcW w:type="dxa" w:w="800"/>
          </w:tcPr>
          <w:p>
            <w:pPr>
              <w:spacing w:after="0" w:line="252" w:lineRule="auto"/>
            </w:pPr>
            <w:r>
              <w:rPr>
                <w:rFonts w:ascii="Calibri" w:hAnsi="Calibri"/>
                <w:b w:val="0"/>
                <w:i w:val="0"/>
                <w:color w:val="111111"/>
                <w:sz w:val="14"/>
              </w:rPr>
              <w:t>Medium</w:t>
            </w:r>
          </w:p>
        </w:tc>
        <w:tc>
          <w:tcPr>
            <w:tcW w:type="dxa" w:w="2350"/>
          </w:tcPr>
          <w:p>
            <w:pPr>
              <w:spacing w:after="0" w:line="252" w:lineRule="auto"/>
            </w:pPr>
            <w:r>
              <w:rPr>
                <w:rFonts w:ascii="Calibri" w:hAnsi="Calibri"/>
                <w:b w:val="0"/>
                <w:i w:val="0"/>
                <w:color w:val="111111"/>
                <w:sz w:val="14"/>
              </w:rPr>
              <w:t>Bootstrap Super Admin email embedded</w:t>
            </w:r>
          </w:p>
        </w:tc>
        <w:tc>
          <w:tcPr>
            <w:tcW w:type="dxa" w:w="2450"/>
          </w:tcPr>
          <w:p>
            <w:pPr>
              <w:spacing w:after="0" w:line="252" w:lineRule="auto"/>
            </w:pPr>
            <w:r>
              <w:rPr>
                <w:rFonts w:ascii="Calibri" w:hAnsi="Calibri"/>
                <w:b w:val="0"/>
                <w:i w:val="0"/>
                <w:color w:val="111111"/>
                <w:sz w:val="14"/>
              </w:rPr>
              <w:t>Long-lived special-case privilege and account concentration.</w:t>
            </w:r>
          </w:p>
        </w:tc>
        <w:tc>
          <w:tcPr>
            <w:tcW w:type="dxa" w:w="3160"/>
          </w:tcPr>
          <w:p>
            <w:pPr>
              <w:spacing w:after="0" w:line="252" w:lineRule="auto"/>
            </w:pPr>
            <w:r>
              <w:rPr>
                <w:rFonts w:ascii="Calibri" w:hAnsi="Calibri"/>
                <w:b w:val="0"/>
                <w:i w:val="0"/>
                <w:color w:val="111111"/>
                <w:sz w:val="14"/>
              </w:rPr>
              <w:t>Provision custom claim or server-managed global role; maintain two-person admin coverage.</w:t>
            </w:r>
          </w:p>
        </w:tc>
      </w:tr>
      <w:tr>
        <w:tc>
          <w:tcPr>
            <w:tcW w:type="dxa" w:w="600"/>
          </w:tcPr>
          <w:p>
            <w:pPr>
              <w:spacing w:after="0" w:line="252" w:lineRule="auto"/>
            </w:pPr>
            <w:r>
              <w:rPr>
                <w:rFonts w:ascii="Calibri" w:hAnsi="Calibri"/>
                <w:b w:val="0"/>
                <w:i w:val="0"/>
                <w:color w:val="111111"/>
                <w:sz w:val="14"/>
              </w:rPr>
              <w:t>R5</w:t>
            </w:r>
          </w:p>
        </w:tc>
        <w:tc>
          <w:tcPr>
            <w:tcW w:type="dxa" w:w="800"/>
          </w:tcPr>
          <w:p>
            <w:pPr>
              <w:spacing w:after="0" w:line="252" w:lineRule="auto"/>
            </w:pPr>
            <w:r>
              <w:rPr>
                <w:rFonts w:ascii="Calibri" w:hAnsi="Calibri"/>
                <w:b w:val="0"/>
                <w:i w:val="0"/>
                <w:color w:val="111111"/>
                <w:sz w:val="14"/>
              </w:rPr>
              <w:t>Medium</w:t>
            </w:r>
          </w:p>
        </w:tc>
        <w:tc>
          <w:tcPr>
            <w:tcW w:type="dxa" w:w="2350"/>
          </w:tcPr>
          <w:p>
            <w:pPr>
              <w:spacing w:after="0" w:line="252" w:lineRule="auto"/>
            </w:pPr>
            <w:r>
              <w:rPr>
                <w:rFonts w:ascii="Calibri" w:hAnsi="Calibri"/>
                <w:b w:val="0"/>
                <w:i w:val="0"/>
                <w:color w:val="111111"/>
                <w:sz w:val="14"/>
              </w:rPr>
              <w:t>Manual deployment and cache versioning</w:t>
            </w:r>
          </w:p>
        </w:tc>
        <w:tc>
          <w:tcPr>
            <w:tcW w:type="dxa" w:w="2450"/>
          </w:tcPr>
          <w:p>
            <w:pPr>
              <w:spacing w:after="0" w:line="252" w:lineRule="auto"/>
            </w:pPr>
            <w:r>
              <w:rPr>
                <w:rFonts w:ascii="Calibri" w:hAnsi="Calibri"/>
                <w:b w:val="0"/>
                <w:i w:val="0"/>
                <w:color w:val="111111"/>
                <w:sz w:val="14"/>
              </w:rPr>
              <w:t>Human error may release mismatched assets or rules.</w:t>
            </w:r>
          </w:p>
        </w:tc>
        <w:tc>
          <w:tcPr>
            <w:tcW w:type="dxa" w:w="3160"/>
          </w:tcPr>
          <w:p>
            <w:pPr>
              <w:spacing w:after="0" w:line="252" w:lineRule="auto"/>
            </w:pPr>
            <w:r>
              <w:rPr>
                <w:rFonts w:ascii="Calibri" w:hAnsi="Calibri"/>
                <w:b w:val="0"/>
                <w:i w:val="0"/>
                <w:color w:val="111111"/>
                <w:sz w:val="14"/>
              </w:rPr>
              <w:t>CI/CD, manifest generation, deployment approval, rollback procedure.</w:t>
            </w:r>
          </w:p>
        </w:tc>
      </w:tr>
      <w:tr>
        <w:tc>
          <w:tcPr>
            <w:tcW w:type="dxa" w:w="600"/>
          </w:tcPr>
          <w:p>
            <w:pPr>
              <w:spacing w:after="0" w:line="252" w:lineRule="auto"/>
            </w:pPr>
            <w:r>
              <w:rPr>
                <w:rFonts w:ascii="Calibri" w:hAnsi="Calibri"/>
                <w:b w:val="0"/>
                <w:i w:val="0"/>
                <w:color w:val="111111"/>
                <w:sz w:val="14"/>
              </w:rPr>
              <w:t>R6</w:t>
            </w:r>
          </w:p>
        </w:tc>
        <w:tc>
          <w:tcPr>
            <w:tcW w:type="dxa" w:w="800"/>
          </w:tcPr>
          <w:p>
            <w:pPr>
              <w:spacing w:after="0" w:line="252" w:lineRule="auto"/>
            </w:pPr>
            <w:r>
              <w:rPr>
                <w:rFonts w:ascii="Calibri" w:hAnsi="Calibri"/>
                <w:b w:val="0"/>
                <w:i w:val="0"/>
                <w:color w:val="111111"/>
                <w:sz w:val="14"/>
              </w:rPr>
              <w:t>Medium</w:t>
            </w:r>
          </w:p>
        </w:tc>
        <w:tc>
          <w:tcPr>
            <w:tcW w:type="dxa" w:w="2350"/>
          </w:tcPr>
          <w:p>
            <w:pPr>
              <w:spacing w:after="0" w:line="252" w:lineRule="auto"/>
            </w:pPr>
            <w:r>
              <w:rPr>
                <w:rFonts w:ascii="Calibri" w:hAnsi="Calibri"/>
                <w:b w:val="0"/>
                <w:i w:val="0"/>
                <w:color w:val="111111"/>
                <w:sz w:val="14"/>
              </w:rPr>
              <w:t>Public projection is follow-on client work</w:t>
            </w:r>
          </w:p>
        </w:tc>
        <w:tc>
          <w:tcPr>
            <w:tcW w:type="dxa" w:w="2450"/>
          </w:tcPr>
          <w:p>
            <w:pPr>
              <w:spacing w:after="0" w:line="252" w:lineRule="auto"/>
            </w:pPr>
            <w:r>
              <w:rPr>
                <w:rFonts w:ascii="Calibri" w:hAnsi="Calibri"/>
                <w:b w:val="0"/>
                <w:i w:val="0"/>
                <w:color w:val="111111"/>
                <w:sz w:val="14"/>
              </w:rPr>
              <w:t>Operational and public views may temporarily diverge.</w:t>
            </w:r>
          </w:p>
        </w:tc>
        <w:tc>
          <w:tcPr>
            <w:tcW w:type="dxa" w:w="3160"/>
          </w:tcPr>
          <w:p>
            <w:pPr>
              <w:spacing w:after="0" w:line="252" w:lineRule="auto"/>
            </w:pPr>
            <w:r>
              <w:rPr>
                <w:rFonts w:ascii="Calibri" w:hAnsi="Calibri"/>
                <w:b w:val="0"/>
                <w:i w:val="0"/>
                <w:color w:val="111111"/>
                <w:sz w:val="14"/>
              </w:rPr>
              <w:t>Add retry dashboard now; move projection to event-driven backend later.</w:t>
            </w:r>
          </w:p>
        </w:tc>
      </w:tr>
      <w:tr>
        <w:tc>
          <w:tcPr>
            <w:tcW w:type="dxa" w:w="600"/>
          </w:tcPr>
          <w:p>
            <w:pPr>
              <w:spacing w:after="0" w:line="252" w:lineRule="auto"/>
            </w:pPr>
            <w:r>
              <w:rPr>
                <w:rFonts w:ascii="Calibri" w:hAnsi="Calibri"/>
                <w:b w:val="0"/>
                <w:i w:val="0"/>
                <w:color w:val="111111"/>
                <w:sz w:val="14"/>
              </w:rPr>
              <w:t>R7</w:t>
            </w:r>
          </w:p>
        </w:tc>
        <w:tc>
          <w:tcPr>
            <w:tcW w:type="dxa" w:w="800"/>
          </w:tcPr>
          <w:p>
            <w:pPr>
              <w:spacing w:after="0" w:line="252" w:lineRule="auto"/>
            </w:pPr>
            <w:r>
              <w:rPr>
                <w:rFonts w:ascii="Calibri" w:hAnsi="Calibri"/>
                <w:b w:val="0"/>
                <w:i w:val="0"/>
                <w:color w:val="111111"/>
                <w:sz w:val="14"/>
              </w:rPr>
              <w:t>Medium</w:t>
            </w:r>
          </w:p>
        </w:tc>
        <w:tc>
          <w:tcPr>
            <w:tcW w:type="dxa" w:w="2350"/>
          </w:tcPr>
          <w:p>
            <w:pPr>
              <w:spacing w:after="0" w:line="252" w:lineRule="auto"/>
            </w:pPr>
            <w:r>
              <w:rPr>
                <w:rFonts w:ascii="Calibri" w:hAnsi="Calibri"/>
                <w:b w:val="0"/>
                <w:i w:val="0"/>
                <w:color w:val="111111"/>
                <w:sz w:val="14"/>
              </w:rPr>
              <w:t>No App Check or centralized telemetry</w:t>
            </w:r>
          </w:p>
        </w:tc>
        <w:tc>
          <w:tcPr>
            <w:tcW w:type="dxa" w:w="2450"/>
          </w:tcPr>
          <w:p>
            <w:pPr>
              <w:spacing w:after="0" w:line="252" w:lineRule="auto"/>
            </w:pPr>
            <w:r>
              <w:rPr>
                <w:rFonts w:ascii="Calibri" w:hAnsi="Calibri"/>
                <w:b w:val="0"/>
                <w:i w:val="0"/>
                <w:color w:val="111111"/>
                <w:sz w:val="14"/>
              </w:rPr>
              <w:t>Abuse and client failures are harder to detect.</w:t>
            </w:r>
          </w:p>
        </w:tc>
        <w:tc>
          <w:tcPr>
            <w:tcW w:type="dxa" w:w="3160"/>
          </w:tcPr>
          <w:p>
            <w:pPr>
              <w:spacing w:after="0" w:line="252" w:lineRule="auto"/>
            </w:pPr>
            <w:r>
              <w:rPr>
                <w:rFonts w:ascii="Calibri" w:hAnsi="Calibri"/>
                <w:b w:val="0"/>
                <w:i w:val="0"/>
                <w:color w:val="111111"/>
                <w:sz w:val="14"/>
              </w:rPr>
              <w:t>Enable App Check and error/event monitoring.</w:t>
            </w:r>
          </w:p>
        </w:tc>
      </w:tr>
      <w:tr>
        <w:tc>
          <w:tcPr>
            <w:tcW w:type="dxa" w:w="600"/>
          </w:tcPr>
          <w:p>
            <w:pPr>
              <w:spacing w:after="0" w:line="252" w:lineRule="auto"/>
            </w:pPr>
            <w:r>
              <w:rPr>
                <w:rFonts w:ascii="Calibri" w:hAnsi="Calibri"/>
                <w:b w:val="0"/>
                <w:i w:val="0"/>
                <w:color w:val="111111"/>
                <w:sz w:val="14"/>
              </w:rPr>
              <w:t>R8</w:t>
            </w:r>
          </w:p>
        </w:tc>
        <w:tc>
          <w:tcPr>
            <w:tcW w:type="dxa" w:w="800"/>
          </w:tcPr>
          <w:p>
            <w:pPr>
              <w:spacing w:after="0" w:line="252" w:lineRule="auto"/>
            </w:pPr>
            <w:r>
              <w:rPr>
                <w:rFonts w:ascii="Calibri" w:hAnsi="Calibri"/>
                <w:b w:val="0"/>
                <w:i w:val="0"/>
                <w:color w:val="111111"/>
                <w:sz w:val="14"/>
              </w:rPr>
              <w:t>Medium</w:t>
            </w:r>
          </w:p>
        </w:tc>
        <w:tc>
          <w:tcPr>
            <w:tcW w:type="dxa" w:w="2350"/>
          </w:tcPr>
          <w:p>
            <w:pPr>
              <w:spacing w:after="0" w:line="252" w:lineRule="auto"/>
            </w:pPr>
            <w:r>
              <w:rPr>
                <w:rFonts w:ascii="Calibri" w:hAnsi="Calibri"/>
                <w:b w:val="0"/>
                <w:i w:val="0"/>
                <w:color w:val="111111"/>
                <w:sz w:val="14"/>
              </w:rPr>
              <w:t>Specification drift</w:t>
            </w:r>
          </w:p>
        </w:tc>
        <w:tc>
          <w:tcPr>
            <w:tcW w:type="dxa" w:w="2450"/>
          </w:tcPr>
          <w:p>
            <w:pPr>
              <w:spacing w:after="0" w:line="252" w:lineRule="auto"/>
            </w:pPr>
            <w:r>
              <w:rPr>
                <w:rFonts w:ascii="Calibri" w:hAnsi="Calibri"/>
                <w:b w:val="0"/>
                <w:i w:val="0"/>
                <w:color w:val="111111"/>
                <w:sz w:val="14"/>
              </w:rPr>
              <w:t>Earlier specification conflicts with current team-level approval decisions.</w:t>
            </w:r>
          </w:p>
        </w:tc>
        <w:tc>
          <w:tcPr>
            <w:tcW w:type="dxa" w:w="3160"/>
          </w:tcPr>
          <w:p>
            <w:pPr>
              <w:spacing w:after="0" w:line="252" w:lineRule="auto"/>
            </w:pPr>
            <w:r>
              <w:rPr>
                <w:rFonts w:ascii="Calibri" w:hAnsi="Calibri"/>
                <w:b w:val="0"/>
                <w:i w:val="0"/>
                <w:color w:val="111111"/>
                <w:sz w:val="14"/>
              </w:rPr>
              <w:t>Approve this document as the architecture baseline and update product specification.</w:t>
            </w:r>
          </w:p>
        </w:tc>
      </w:tr>
      <w:tr>
        <w:tc>
          <w:tcPr>
            <w:tcW w:type="dxa" w:w="600"/>
          </w:tcPr>
          <w:p>
            <w:pPr>
              <w:spacing w:after="0" w:line="252" w:lineRule="auto"/>
            </w:pPr>
            <w:r>
              <w:rPr>
                <w:rFonts w:ascii="Calibri" w:hAnsi="Calibri"/>
                <w:b w:val="0"/>
                <w:i w:val="0"/>
                <w:color w:val="111111"/>
                <w:sz w:val="14"/>
              </w:rPr>
              <w:t>R9</w:t>
            </w:r>
          </w:p>
        </w:tc>
        <w:tc>
          <w:tcPr>
            <w:tcW w:type="dxa" w:w="800"/>
          </w:tcPr>
          <w:p>
            <w:pPr>
              <w:spacing w:after="0" w:line="252" w:lineRule="auto"/>
            </w:pPr>
            <w:r>
              <w:rPr>
                <w:rFonts w:ascii="Calibri" w:hAnsi="Calibri"/>
                <w:b w:val="0"/>
                <w:i w:val="0"/>
                <w:color w:val="111111"/>
                <w:sz w:val="14"/>
              </w:rPr>
              <w:t>Low</w:t>
            </w:r>
          </w:p>
        </w:tc>
        <w:tc>
          <w:tcPr>
            <w:tcW w:type="dxa" w:w="2350"/>
          </w:tcPr>
          <w:p>
            <w:pPr>
              <w:spacing w:after="0" w:line="252" w:lineRule="auto"/>
            </w:pPr>
            <w:r>
              <w:rPr>
                <w:rFonts w:ascii="Calibri" w:hAnsi="Calibri"/>
                <w:b w:val="0"/>
                <w:i w:val="0"/>
                <w:color w:val="111111"/>
                <w:sz w:val="14"/>
              </w:rPr>
              <w:t>CDN-loaded SDK and unbundled modules</w:t>
            </w:r>
          </w:p>
        </w:tc>
        <w:tc>
          <w:tcPr>
            <w:tcW w:type="dxa" w:w="2450"/>
          </w:tcPr>
          <w:p>
            <w:pPr>
              <w:spacing w:after="0" w:line="252" w:lineRule="auto"/>
            </w:pPr>
            <w:r>
              <w:rPr>
                <w:rFonts w:ascii="Calibri" w:hAnsi="Calibri"/>
                <w:b w:val="0"/>
                <w:i w:val="0"/>
                <w:color w:val="111111"/>
                <w:sz w:val="14"/>
              </w:rPr>
              <w:t>Dependency or browser-loading behavior is less controlled.</w:t>
            </w:r>
          </w:p>
        </w:tc>
        <w:tc>
          <w:tcPr>
            <w:tcW w:type="dxa" w:w="3160"/>
          </w:tcPr>
          <w:p>
            <w:pPr>
              <w:spacing w:after="0" w:line="252" w:lineRule="auto"/>
            </w:pPr>
            <w:r>
              <w:rPr>
                <w:rFonts w:ascii="Calibri" w:hAnsi="Calibri"/>
                <w:b w:val="0"/>
                <w:i w:val="0"/>
                <w:color w:val="111111"/>
                <w:sz w:val="14"/>
              </w:rPr>
              <w:t>Introduce lockfile/build pipeline and Subresource Integrity where feasible.</w:t>
            </w:r>
          </w:p>
        </w:tc>
      </w:tr>
      <w:tr>
        <w:tc>
          <w:tcPr>
            <w:tcW w:type="dxa" w:w="600"/>
          </w:tcPr>
          <w:p>
            <w:pPr>
              <w:spacing w:after="0" w:line="252" w:lineRule="auto"/>
            </w:pPr>
            <w:r>
              <w:rPr>
                <w:rFonts w:ascii="Calibri" w:hAnsi="Calibri"/>
                <w:b w:val="0"/>
                <w:i w:val="0"/>
                <w:color w:val="111111"/>
                <w:sz w:val="14"/>
              </w:rPr>
              <w:t>R10</w:t>
            </w:r>
          </w:p>
        </w:tc>
        <w:tc>
          <w:tcPr>
            <w:tcW w:type="dxa" w:w="800"/>
          </w:tcPr>
          <w:p>
            <w:pPr>
              <w:spacing w:after="0" w:line="252" w:lineRule="auto"/>
            </w:pPr>
            <w:r>
              <w:rPr>
                <w:rFonts w:ascii="Calibri" w:hAnsi="Calibri"/>
                <w:b w:val="0"/>
                <w:i w:val="0"/>
                <w:color w:val="111111"/>
                <w:sz w:val="14"/>
              </w:rPr>
              <w:t>Low</w:t>
            </w:r>
          </w:p>
        </w:tc>
        <w:tc>
          <w:tcPr>
            <w:tcW w:type="dxa" w:w="2350"/>
          </w:tcPr>
          <w:p>
            <w:pPr>
              <w:spacing w:after="0" w:line="252" w:lineRule="auto"/>
            </w:pPr>
            <w:r>
              <w:rPr>
                <w:rFonts w:ascii="Calibri" w:hAnsi="Calibri"/>
                <w:b w:val="0"/>
                <w:i w:val="0"/>
                <w:color w:val="111111"/>
                <w:sz w:val="14"/>
              </w:rPr>
              <w:t>No formal WCAG audit</w:t>
            </w:r>
          </w:p>
        </w:tc>
        <w:tc>
          <w:tcPr>
            <w:tcW w:type="dxa" w:w="2450"/>
          </w:tcPr>
          <w:p>
            <w:pPr>
              <w:spacing w:after="0" w:line="252" w:lineRule="auto"/>
            </w:pPr>
            <w:r>
              <w:rPr>
                <w:rFonts w:ascii="Calibri" w:hAnsi="Calibri"/>
                <w:b w:val="0"/>
                <w:i w:val="0"/>
                <w:color w:val="111111"/>
                <w:sz w:val="14"/>
              </w:rPr>
              <w:t>Usability barriers may remain.</w:t>
            </w:r>
          </w:p>
        </w:tc>
        <w:tc>
          <w:tcPr>
            <w:tcW w:type="dxa" w:w="3160"/>
          </w:tcPr>
          <w:p>
            <w:pPr>
              <w:spacing w:after="0" w:line="252" w:lineRule="auto"/>
            </w:pPr>
            <w:r>
              <w:rPr>
                <w:rFonts w:ascii="Calibri" w:hAnsi="Calibri"/>
                <w:b w:val="0"/>
                <w:i w:val="0"/>
                <w:color w:val="111111"/>
                <w:sz w:val="14"/>
              </w:rPr>
              <w:t>Perform WCAG 2.2 AA review before broad launch.</w:t>
            </w:r>
          </w:p>
        </w:tc>
      </w:tr>
    </w:tbl>
    <w:p>
      <w:pPr>
        <w:spacing w:after="40"/>
      </w:pPr>
    </w:p>
    <w:p>
      <w:pPr>
        <w:pStyle w:val="Heading2"/>
        <w:keepNext/>
      </w:pPr>
      <w:r>
        <w:t>15.1 Conditions of approval</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650"/>
        <w:gridCol w:w="5200"/>
        <w:gridCol w:w="1500"/>
        <w:gridCol w:w="2010"/>
      </w:tblGrid>
      <w:tr>
        <w:trPr>
          <w:tblHeader w:val="true"/>
        </w:trPr>
        <w:tc>
          <w:tcPr>
            <w:tcW w:type="dxa" w:w="65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ID</w:t>
            </w:r>
          </w:p>
        </w:tc>
        <w:tc>
          <w:tcPr>
            <w:tcW w:type="dxa" w:w="52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Condition</w:t>
            </w:r>
          </w:p>
        </w:tc>
        <w:tc>
          <w:tcPr>
            <w:tcW w:type="dxa" w:w="150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Owner</w:t>
            </w:r>
          </w:p>
        </w:tc>
        <w:tc>
          <w:tcPr>
            <w:tcW w:type="dxa" w:w="2010"/>
            <w:tcMar>
              <w:top w:w="80" w:type="dxa"/>
              <w:start w:w="120" w:type="dxa"/>
              <w:bottom w:w="80" w:type="dxa"/>
              <w:end w:w="120" w:type="dxa"/>
            </w:tcMar>
            <w:vAlign w:val="center"/>
            <w:shd w:fill="F2F4F7"/>
          </w:tcPr>
          <w:p>
            <w:pPr>
              <w:spacing w:after="0" w:line="252" w:lineRule="auto"/>
            </w:pPr>
            <w:r>
              <w:rPr>
                <w:rFonts w:ascii="Calibri" w:hAnsi="Calibri"/>
                <w:b/>
                <w:i w:val="0"/>
                <w:color w:val="0B2545"/>
                <w:sz w:val="15"/>
              </w:rPr>
              <w:t>Target</w:t>
            </w:r>
          </w:p>
        </w:tc>
      </w:tr>
      <w:tr>
        <w:tc>
          <w:tcPr>
            <w:tcW w:type="dxa" w:w="650"/>
          </w:tcPr>
          <w:p>
            <w:pPr>
              <w:spacing w:after="0" w:line="252" w:lineRule="auto"/>
            </w:pPr>
            <w:r>
              <w:rPr>
                <w:rFonts w:ascii="Calibri" w:hAnsi="Calibri"/>
                <w:b w:val="0"/>
                <w:i w:val="0"/>
                <w:color w:val="111111"/>
                <w:sz w:val="15"/>
              </w:rPr>
              <w:t>C1</w:t>
            </w:r>
          </w:p>
        </w:tc>
        <w:tc>
          <w:tcPr>
            <w:tcW w:type="dxa" w:w="5200"/>
          </w:tcPr>
          <w:p>
            <w:pPr>
              <w:spacing w:after="0" w:line="252" w:lineRule="auto"/>
            </w:pPr>
            <w:r>
              <w:rPr>
                <w:rFonts w:ascii="Calibri" w:hAnsi="Calibri"/>
                <w:b w:val="0"/>
                <w:i w:val="0"/>
                <w:color w:val="111111"/>
                <w:sz w:val="15"/>
              </w:rPr>
              <w:t>Approve and publish the updated product/design baseline reflecting team-level approval and reset-both behavior.</w:t>
            </w:r>
          </w:p>
        </w:tc>
        <w:tc>
          <w:tcPr>
            <w:tcW w:type="dxa" w:w="1500"/>
          </w:tcPr>
          <w:p>
            <w:pPr>
              <w:spacing w:after="0" w:line="252" w:lineRule="auto"/>
            </w:pPr>
            <w:r>
              <w:rPr>
                <w:rFonts w:ascii="Calibri" w:hAnsi="Calibri"/>
                <w:b w:val="0"/>
                <w:i w:val="0"/>
                <w:color w:val="111111"/>
                <w:sz w:val="15"/>
              </w:rPr>
              <w:t>Product owner</w:t>
            </w:r>
          </w:p>
        </w:tc>
        <w:tc>
          <w:tcPr>
            <w:tcW w:type="dxa" w:w="2010"/>
          </w:tcPr>
          <w:p>
            <w:pPr>
              <w:spacing w:after="0" w:line="252" w:lineRule="auto"/>
            </w:pPr>
            <w:r>
              <w:rPr>
                <w:rFonts w:ascii="Calibri" w:hAnsi="Calibri"/>
                <w:b w:val="0"/>
                <w:i w:val="0"/>
                <w:color w:val="111111"/>
                <w:sz w:val="15"/>
              </w:rPr>
              <w:t>Before next season configuration</w:t>
            </w:r>
          </w:p>
        </w:tc>
      </w:tr>
      <w:tr>
        <w:tc>
          <w:tcPr>
            <w:tcW w:type="dxa" w:w="650"/>
          </w:tcPr>
          <w:p>
            <w:pPr>
              <w:spacing w:after="0" w:line="252" w:lineRule="auto"/>
            </w:pPr>
            <w:r>
              <w:rPr>
                <w:rFonts w:ascii="Calibri" w:hAnsi="Calibri"/>
                <w:b w:val="0"/>
                <w:i w:val="0"/>
                <w:color w:val="111111"/>
                <w:sz w:val="15"/>
              </w:rPr>
              <w:t>C2</w:t>
            </w:r>
          </w:p>
        </w:tc>
        <w:tc>
          <w:tcPr>
            <w:tcW w:type="dxa" w:w="5200"/>
          </w:tcPr>
          <w:p>
            <w:pPr>
              <w:spacing w:after="0" w:line="252" w:lineRule="auto"/>
            </w:pPr>
            <w:r>
              <w:rPr>
                <w:rFonts w:ascii="Calibri" w:hAnsi="Calibri"/>
                <w:b w:val="0"/>
                <w:i w:val="0"/>
                <w:color w:val="111111"/>
                <w:sz w:val="15"/>
              </w:rPr>
              <w:t>Create a non-production Firebase project and run role-based end-to-end tests there.</w:t>
            </w:r>
          </w:p>
        </w:tc>
        <w:tc>
          <w:tcPr>
            <w:tcW w:type="dxa" w:w="1500"/>
          </w:tcPr>
          <w:p>
            <w:pPr>
              <w:spacing w:after="0" w:line="252" w:lineRule="auto"/>
            </w:pPr>
            <w:r>
              <w:rPr>
                <w:rFonts w:ascii="Calibri" w:hAnsi="Calibri"/>
                <w:b w:val="0"/>
                <w:i w:val="0"/>
                <w:color w:val="111111"/>
                <w:sz w:val="15"/>
              </w:rPr>
              <w:t>Engineering</w:t>
            </w:r>
          </w:p>
        </w:tc>
        <w:tc>
          <w:tcPr>
            <w:tcW w:type="dxa" w:w="2010"/>
          </w:tcPr>
          <w:p>
            <w:pPr>
              <w:spacing w:after="0" w:line="252" w:lineRule="auto"/>
            </w:pPr>
            <w:r>
              <w:rPr>
                <w:rFonts w:ascii="Calibri" w:hAnsi="Calibri"/>
                <w:b w:val="0"/>
                <w:i w:val="0"/>
                <w:color w:val="111111"/>
                <w:sz w:val="15"/>
              </w:rPr>
              <w:t>Before next material workflow change</w:t>
            </w:r>
          </w:p>
        </w:tc>
      </w:tr>
      <w:tr>
        <w:tc>
          <w:tcPr>
            <w:tcW w:type="dxa" w:w="650"/>
          </w:tcPr>
          <w:p>
            <w:pPr>
              <w:spacing w:after="0" w:line="252" w:lineRule="auto"/>
            </w:pPr>
            <w:r>
              <w:rPr>
                <w:rFonts w:ascii="Calibri" w:hAnsi="Calibri"/>
                <w:b w:val="0"/>
                <w:i w:val="0"/>
                <w:color w:val="111111"/>
                <w:sz w:val="15"/>
              </w:rPr>
              <w:t>C3</w:t>
            </w:r>
          </w:p>
        </w:tc>
        <w:tc>
          <w:tcPr>
            <w:tcW w:type="dxa" w:w="5200"/>
          </w:tcPr>
          <w:p>
            <w:pPr>
              <w:spacing w:after="0" w:line="252" w:lineRule="auto"/>
            </w:pPr>
            <w:r>
              <w:rPr>
                <w:rFonts w:ascii="Calibri" w:hAnsi="Calibri"/>
                <w:b w:val="0"/>
                <w:i w:val="0"/>
                <w:color w:val="111111"/>
                <w:sz w:val="15"/>
              </w:rPr>
              <w:t>Add CI gates for static tests and Firestore Rules emulator tests.</w:t>
            </w:r>
          </w:p>
        </w:tc>
        <w:tc>
          <w:tcPr>
            <w:tcW w:type="dxa" w:w="1500"/>
          </w:tcPr>
          <w:p>
            <w:pPr>
              <w:spacing w:after="0" w:line="252" w:lineRule="auto"/>
            </w:pPr>
            <w:r>
              <w:rPr>
                <w:rFonts w:ascii="Calibri" w:hAnsi="Calibri"/>
                <w:b w:val="0"/>
                <w:i w:val="0"/>
                <w:color w:val="111111"/>
                <w:sz w:val="15"/>
              </w:rPr>
              <w:t>Engineering</w:t>
            </w:r>
          </w:p>
        </w:tc>
        <w:tc>
          <w:tcPr>
            <w:tcW w:type="dxa" w:w="2010"/>
          </w:tcPr>
          <w:p>
            <w:pPr>
              <w:spacing w:after="0" w:line="252" w:lineRule="auto"/>
            </w:pPr>
            <w:r>
              <w:rPr>
                <w:rFonts w:ascii="Calibri" w:hAnsi="Calibri"/>
                <w:b w:val="0"/>
                <w:i w:val="0"/>
                <w:color w:val="111111"/>
                <w:sz w:val="15"/>
              </w:rPr>
              <w:t>Before multi-contributor development</w:t>
            </w:r>
          </w:p>
        </w:tc>
      </w:tr>
      <w:tr>
        <w:tc>
          <w:tcPr>
            <w:tcW w:type="dxa" w:w="650"/>
          </w:tcPr>
          <w:p>
            <w:pPr>
              <w:spacing w:after="0" w:line="252" w:lineRule="auto"/>
            </w:pPr>
            <w:r>
              <w:rPr>
                <w:rFonts w:ascii="Calibri" w:hAnsi="Calibri"/>
                <w:b w:val="0"/>
                <w:i w:val="0"/>
                <w:color w:val="111111"/>
                <w:sz w:val="15"/>
              </w:rPr>
              <w:t>C4</w:t>
            </w:r>
          </w:p>
        </w:tc>
        <w:tc>
          <w:tcPr>
            <w:tcW w:type="dxa" w:w="5200"/>
          </w:tcPr>
          <w:p>
            <w:pPr>
              <w:spacing w:after="0" w:line="252" w:lineRule="auto"/>
            </w:pPr>
            <w:r>
              <w:rPr>
                <w:rFonts w:ascii="Calibri" w:hAnsi="Calibri"/>
                <w:b w:val="0"/>
                <w:i w:val="0"/>
                <w:color w:val="111111"/>
                <w:sz w:val="15"/>
              </w:rPr>
              <w:t>Document backup/export and restore procedures.</w:t>
            </w:r>
          </w:p>
        </w:tc>
        <w:tc>
          <w:tcPr>
            <w:tcW w:type="dxa" w:w="1500"/>
          </w:tcPr>
          <w:p>
            <w:pPr>
              <w:spacing w:after="0" w:line="252" w:lineRule="auto"/>
            </w:pPr>
            <w:r>
              <w:rPr>
                <w:rFonts w:ascii="Calibri" w:hAnsi="Calibri"/>
                <w:b w:val="0"/>
                <w:i w:val="0"/>
                <w:color w:val="111111"/>
                <w:sz w:val="15"/>
              </w:rPr>
              <w:t>Operations</w:t>
            </w:r>
          </w:p>
        </w:tc>
        <w:tc>
          <w:tcPr>
            <w:tcW w:type="dxa" w:w="2010"/>
          </w:tcPr>
          <w:p>
            <w:pPr>
              <w:spacing w:after="0" w:line="252" w:lineRule="auto"/>
            </w:pPr>
            <w:r>
              <w:rPr>
                <w:rFonts w:ascii="Calibri" w:hAnsi="Calibri"/>
                <w:b w:val="0"/>
                <w:i w:val="0"/>
                <w:color w:val="111111"/>
                <w:sz w:val="15"/>
              </w:rPr>
              <w:t>Before production season launch</w:t>
            </w:r>
          </w:p>
        </w:tc>
      </w:tr>
      <w:tr>
        <w:tc>
          <w:tcPr>
            <w:tcW w:type="dxa" w:w="650"/>
          </w:tcPr>
          <w:p>
            <w:pPr>
              <w:spacing w:after="0" w:line="252" w:lineRule="auto"/>
            </w:pPr>
            <w:r>
              <w:rPr>
                <w:rFonts w:ascii="Calibri" w:hAnsi="Calibri"/>
                <w:b w:val="0"/>
                <w:i w:val="0"/>
                <w:color w:val="111111"/>
                <w:sz w:val="15"/>
              </w:rPr>
              <w:t>C5</w:t>
            </w:r>
          </w:p>
        </w:tc>
        <w:tc>
          <w:tcPr>
            <w:tcW w:type="dxa" w:w="5200"/>
          </w:tcPr>
          <w:p>
            <w:pPr>
              <w:spacing w:after="0" w:line="252" w:lineRule="auto"/>
            </w:pPr>
            <w:r>
              <w:rPr>
                <w:rFonts w:ascii="Calibri" w:hAnsi="Calibri"/>
                <w:b w:val="0"/>
                <w:i w:val="0"/>
                <w:color w:val="111111"/>
                <w:sz w:val="15"/>
              </w:rPr>
              <w:t>Define the Blaze migration trigger and budget owner.</w:t>
            </w:r>
          </w:p>
        </w:tc>
        <w:tc>
          <w:tcPr>
            <w:tcW w:type="dxa" w:w="1500"/>
          </w:tcPr>
          <w:p>
            <w:pPr>
              <w:spacing w:after="0" w:line="252" w:lineRule="auto"/>
            </w:pPr>
            <w:r>
              <w:rPr>
                <w:rFonts w:ascii="Calibri" w:hAnsi="Calibri"/>
                <w:b w:val="0"/>
                <w:i w:val="0"/>
                <w:color w:val="111111"/>
                <w:sz w:val="15"/>
              </w:rPr>
              <w:t>ARB/Product</w:t>
            </w:r>
          </w:p>
        </w:tc>
        <w:tc>
          <w:tcPr>
            <w:tcW w:type="dxa" w:w="2010"/>
          </w:tcPr>
          <w:p>
            <w:pPr>
              <w:spacing w:after="0" w:line="252" w:lineRule="auto"/>
            </w:pPr>
            <w:r>
              <w:rPr>
                <w:rFonts w:ascii="Calibri" w:hAnsi="Calibri"/>
                <w:b w:val="0"/>
                <w:i w:val="0"/>
                <w:color w:val="111111"/>
                <w:sz w:val="15"/>
              </w:rPr>
              <w:t>At architecture approval</w:t>
            </w:r>
          </w:p>
        </w:tc>
      </w:tr>
      <w:tr>
        <w:tc>
          <w:tcPr>
            <w:tcW w:type="dxa" w:w="650"/>
          </w:tcPr>
          <w:p>
            <w:pPr>
              <w:spacing w:after="0" w:line="252" w:lineRule="auto"/>
            </w:pPr>
            <w:r>
              <w:rPr>
                <w:rFonts w:ascii="Calibri" w:hAnsi="Calibri"/>
                <w:b w:val="0"/>
                <w:i w:val="0"/>
                <w:color w:val="111111"/>
                <w:sz w:val="15"/>
              </w:rPr>
              <w:t>C6</w:t>
            </w:r>
          </w:p>
        </w:tc>
        <w:tc>
          <w:tcPr>
            <w:tcW w:type="dxa" w:w="5200"/>
          </w:tcPr>
          <w:p>
            <w:pPr>
              <w:spacing w:after="0" w:line="252" w:lineRule="auto"/>
            </w:pPr>
            <w:r>
              <w:rPr>
                <w:rFonts w:ascii="Calibri" w:hAnsi="Calibri"/>
                <w:b w:val="0"/>
                <w:i w:val="0"/>
                <w:color w:val="111111"/>
                <w:sz w:val="15"/>
              </w:rPr>
              <w:t>Review bootstrap admin and App Check strategy.</w:t>
            </w:r>
          </w:p>
        </w:tc>
        <w:tc>
          <w:tcPr>
            <w:tcW w:type="dxa" w:w="1500"/>
          </w:tcPr>
          <w:p>
            <w:pPr>
              <w:spacing w:after="0" w:line="252" w:lineRule="auto"/>
            </w:pPr>
            <w:r>
              <w:rPr>
                <w:rFonts w:ascii="Calibri" w:hAnsi="Calibri"/>
                <w:b w:val="0"/>
                <w:i w:val="0"/>
                <w:color w:val="111111"/>
                <w:sz w:val="15"/>
              </w:rPr>
              <w:t>Security owner</w:t>
            </w:r>
          </w:p>
        </w:tc>
        <w:tc>
          <w:tcPr>
            <w:tcW w:type="dxa" w:w="2010"/>
          </w:tcPr>
          <w:p>
            <w:pPr>
              <w:spacing w:after="0" w:line="252" w:lineRule="auto"/>
            </w:pPr>
            <w:r>
              <w:rPr>
                <w:rFonts w:ascii="Calibri" w:hAnsi="Calibri"/>
                <w:b w:val="0"/>
                <w:i w:val="0"/>
                <w:color w:val="111111"/>
                <w:sz w:val="15"/>
              </w:rPr>
              <w:t>Within one release cycle</w:t>
            </w:r>
          </w:p>
        </w:tc>
      </w:tr>
    </w:tbl>
    <w:p>
      <w:pPr>
        <w:spacing w:after="40"/>
      </w:pPr>
    </w:p>
    <w:p>
      <w:pPr>
        <w:pStyle w:val="Heading1"/>
        <w:keepNext/>
      </w:pPr>
      <w:r>
        <w:t>16. Future Blaze migration architecture</w:t>
      </w:r>
    </w:p>
    <w:p>
      <w:pPr/>
      <w:r>
        <w:rPr>
          <w:rFonts w:ascii="Calibri" w:hAnsi="Calibri"/>
          <w:b w:val="0"/>
          <w:i w:val="0"/>
          <w:color w:val="111111"/>
          <w:sz w:val="22"/>
        </w:rPr>
        <w:t>The application already isolates official lineup mutations behind lineup-workflow-client.js. The Firestore schema, UI payloads, status values, operation IDs, revisions, and audit documents can remain unchanged. A Blaze upgrade replaces the transaction implementation with callable Cloud Functions or HTTPS endpoints using the Firebase Admin SDK.</w:t>
      </w:r>
    </w:p>
    <w:p>
      <w:r>
        <w:drawing>
          <wp:inline xmlns:a="http://schemas.openxmlformats.org/drawingml/2006/main" xmlns:pic="http://schemas.openxmlformats.org/drawingml/2006/picture">
            <wp:extent cx="5943600" cy="2674620"/>
            <wp:docPr id="4" name="Picture 4" descr="Future migration path from the unchanged user interface through a workflow service interface to callable functions, Admin SDK transactions, and tightened Firestore Rules." title="Future migration path from the unchanged user interface through a workflow service interface to callable functions, Admin SDK transactions, and tightened Firestore Rules."/>
            <wp:cNvGraphicFramePr>
              <a:graphicFrameLocks noChangeAspect="1"/>
            </wp:cNvGraphicFramePr>
            <a:graphic>
              <a:graphicData uri="http://schemas.openxmlformats.org/drawingml/2006/picture">
                <pic:pic>
                  <pic:nvPicPr>
                    <pic:cNvPr id="0" name="blaze_migration.png"/>
                    <pic:cNvPicPr/>
                  </pic:nvPicPr>
                  <pic:blipFill>
                    <a:blip r:embed="rId14"/>
                    <a:stretch>
                      <a:fillRect/>
                    </a:stretch>
                  </pic:blipFill>
                  <pic:spPr>
                    <a:xfrm>
                      <a:off x="0" y="0"/>
                      <a:ext cx="5943600" cy="2674620"/>
                    </a:xfrm>
                    <a:prstGeom prst="rect"/>
                  </pic:spPr>
                </pic:pic>
              </a:graphicData>
            </a:graphic>
          </wp:inline>
        </w:drawing>
      </w:r>
    </w:p>
    <w:p>
      <w:pPr>
        <w:jc w:val="center"/>
      </w:pPr>
      <w:r>
        <w:rPr>
          <w:rFonts w:ascii="Calibri" w:hAnsi="Calibri"/>
          <w:b w:val="0"/>
          <w:i/>
          <w:color w:val="5B6573"/>
          <w:sz w:val="18"/>
        </w:rPr>
        <w:t>Figure 4. Future trusted mutation path</w:t>
      </w:r>
    </w:p>
    <w:p>
      <w:pPr>
        <w:pStyle w:val="Heading2"/>
        <w:keepNext/>
      </w:pPr>
      <w:r>
        <w:t>16.1 Migration steps</w:t>
      </w:r>
    </w:p>
    <w:p>
      <w:pPr>
        <w:pStyle w:val="ListNumber"/>
        <w:numPr>
          <w:ilvl w:val="0"/>
          <w:numId w:val="13"/>
        </w:numPr>
      </w:pPr>
      <w:r>
        <w:rPr>
          <w:rFonts w:ascii="Calibri" w:hAnsi="Calibri"/>
          <w:b w:val="0"/>
          <w:i w:val="0"/>
          <w:color w:val="111111"/>
          <w:sz w:val="22"/>
        </w:rPr>
        <w:t>Enable Blaze billing and required Cloud Functions, Cloud Build, and Artifact Registry APIs.</w:t>
      </w:r>
    </w:p>
    <w:p>
      <w:pPr>
        <w:pStyle w:val="ListNumber"/>
        <w:numPr>
          <w:ilvl w:val="0"/>
          <w:numId w:val="13"/>
        </w:numPr>
      </w:pPr>
      <w:r>
        <w:rPr>
          <w:rFonts w:ascii="Calibri" w:hAnsi="Calibri"/>
          <w:b w:val="0"/>
          <w:i w:val="0"/>
          <w:color w:val="111111"/>
          <w:sz w:val="22"/>
        </w:rPr>
        <w:t>Deploy callable operations for list seasons, submit lineup, decide team lineup, and reset both lineups.</w:t>
      </w:r>
    </w:p>
    <w:p>
      <w:pPr>
        <w:pStyle w:val="ListNumber"/>
        <w:numPr>
          <w:ilvl w:val="0"/>
          <w:numId w:val="13"/>
        </w:numPr>
      </w:pPr>
      <w:r>
        <w:rPr>
          <w:rFonts w:ascii="Calibri" w:hAnsi="Calibri"/>
          <w:b w:val="0"/>
          <w:i w:val="0"/>
          <w:color w:val="111111"/>
          <w:sz w:val="22"/>
        </w:rPr>
        <w:t>Move actor resolution, roster canonicalization, transition validation, score inspection, and publication into trusted code.</w:t>
      </w:r>
    </w:p>
    <w:p>
      <w:pPr>
        <w:pStyle w:val="ListNumber"/>
        <w:numPr>
          <w:ilvl w:val="0"/>
          <w:numId w:val="13"/>
        </w:numPr>
      </w:pPr>
      <w:r>
        <w:rPr>
          <w:rFonts w:ascii="Calibri" w:hAnsi="Calibri"/>
          <w:b w:val="0"/>
          <w:i w:val="0"/>
          <w:color w:val="111111"/>
          <w:sz w:val="22"/>
        </w:rPr>
        <w:t>Switch the workflow service implementation from Firestore transactions to callable requests.</w:t>
      </w:r>
    </w:p>
    <w:p>
      <w:pPr>
        <w:pStyle w:val="ListNumber"/>
        <w:numPr>
          <w:ilvl w:val="0"/>
          <w:numId w:val="13"/>
        </w:numPr>
      </w:pPr>
      <w:r>
        <w:rPr>
          <w:rFonts w:ascii="Calibri" w:hAnsi="Calibri"/>
          <w:b w:val="0"/>
          <w:i w:val="0"/>
          <w:color w:val="111111"/>
          <w:sz w:val="22"/>
        </w:rPr>
        <w:t>Tighten Rules so official workflow documents are read-only to browser clients; retain draft access where appropriate.</w:t>
      </w:r>
    </w:p>
    <w:p>
      <w:pPr>
        <w:pStyle w:val="ListNumber"/>
        <w:numPr>
          <w:ilvl w:val="0"/>
          <w:numId w:val="13"/>
        </w:numPr>
      </w:pPr>
      <w:r>
        <w:rPr>
          <w:rFonts w:ascii="Calibri" w:hAnsi="Calibri"/>
          <w:b w:val="0"/>
          <w:i w:val="0"/>
          <w:color w:val="111111"/>
          <w:sz w:val="22"/>
        </w:rPr>
        <w:t>Enable Firebase App Check enforcement after monitoring legitimate traffic.</w:t>
      </w:r>
    </w:p>
    <w:p>
      <w:pPr>
        <w:pStyle w:val="ListNumber"/>
        <w:numPr>
          <w:ilvl w:val="0"/>
          <w:numId w:val="13"/>
        </w:numPr>
      </w:pPr>
      <w:r>
        <w:rPr>
          <w:rFonts w:ascii="Calibri" w:hAnsi="Calibri"/>
          <w:b w:val="0"/>
          <w:i w:val="0"/>
          <w:color w:val="111111"/>
          <w:sz w:val="22"/>
        </w:rPr>
        <w:t>Add event-driven public projection, notification, and audit functions as separate idempotent handlers.</w:t>
      </w:r>
    </w:p>
    <w:p>
      <w:pPr>
        <w:pStyle w:val="ListNumber"/>
        <w:numPr>
          <w:ilvl w:val="0"/>
          <w:numId w:val="13"/>
        </w:numPr>
      </w:pPr>
      <w:r>
        <w:rPr>
          <w:rFonts w:ascii="Calibri" w:hAnsi="Calibri"/>
          <w:b w:val="0"/>
          <w:i w:val="0"/>
          <w:color w:val="111111"/>
          <w:sz w:val="22"/>
        </w:rPr>
        <w:t>Run dual-path test fixtures and cut over without data migration.</w:t>
      </w:r>
    </w:p>
    <w:p>
      <w:pPr>
        <w:pStyle w:val="Heading2"/>
        <w:keepNext/>
      </w:pPr>
      <w:r>
        <w:t>16.2 Recommended migration triggers</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000"/>
        <w:gridCol w:w="7360"/>
      </w:tblGrid>
      <w:tr>
        <w:trPr>
          <w:tblHeader w:val="true"/>
        </w:trPr>
        <w:tc>
          <w:tcPr>
            <w:tcW w:type="dxa" w:w="20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Trigger class</w:t>
            </w:r>
          </w:p>
        </w:tc>
        <w:tc>
          <w:tcPr>
            <w:tcW w:type="dxa" w:w="73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Threshold</w:t>
            </w:r>
          </w:p>
        </w:tc>
      </w:tr>
      <w:tr>
        <w:tc>
          <w:tcPr>
            <w:tcW w:type="dxa" w:w="2000"/>
          </w:tcPr>
          <w:p>
            <w:pPr>
              <w:spacing w:after="0" w:line="252" w:lineRule="auto"/>
            </w:pPr>
            <w:r>
              <w:rPr>
                <w:rFonts w:ascii="Calibri" w:hAnsi="Calibri"/>
                <w:b w:val="0"/>
                <w:i w:val="0"/>
                <w:color w:val="111111"/>
                <w:sz w:val="17"/>
              </w:rPr>
              <w:t>Security</w:t>
            </w:r>
          </w:p>
        </w:tc>
        <w:tc>
          <w:tcPr>
            <w:tcW w:type="dxa" w:w="7360"/>
          </w:tcPr>
          <w:p>
            <w:pPr>
              <w:spacing w:after="0" w:line="252" w:lineRule="auto"/>
            </w:pPr>
            <w:r>
              <w:rPr>
                <w:rFonts w:ascii="Calibri" w:hAnsi="Calibri"/>
                <w:b w:val="0"/>
                <w:i w:val="0"/>
                <w:color w:val="111111"/>
                <w:sz w:val="17"/>
              </w:rPr>
              <w:t>ARB requires server-side proof of no score activity or stronger nonrepudiation.</w:t>
            </w:r>
          </w:p>
        </w:tc>
      </w:tr>
      <w:tr>
        <w:tc>
          <w:tcPr>
            <w:tcW w:type="dxa" w:w="2000"/>
          </w:tcPr>
          <w:p>
            <w:pPr>
              <w:spacing w:after="0" w:line="252" w:lineRule="auto"/>
            </w:pPr>
            <w:r>
              <w:rPr>
                <w:rFonts w:ascii="Calibri" w:hAnsi="Calibri"/>
                <w:b w:val="0"/>
                <w:i w:val="0"/>
                <w:color w:val="111111"/>
                <w:sz w:val="17"/>
              </w:rPr>
              <w:t>Scale</w:t>
            </w:r>
          </w:p>
        </w:tc>
        <w:tc>
          <w:tcPr>
            <w:tcW w:type="dxa" w:w="7360"/>
          </w:tcPr>
          <w:p>
            <w:pPr>
              <w:spacing w:after="0" w:line="252" w:lineRule="auto"/>
            </w:pPr>
            <w:r>
              <w:rPr>
                <w:rFonts w:ascii="Calibri" w:hAnsi="Calibri"/>
                <w:b w:val="0"/>
                <w:i w:val="0"/>
                <w:color w:val="111111"/>
                <w:sz w:val="17"/>
              </w:rPr>
              <w:t>Multiple leagues/seasons, materially more users, or increasing direct-client abuse risk.</w:t>
            </w:r>
          </w:p>
        </w:tc>
      </w:tr>
      <w:tr>
        <w:tc>
          <w:tcPr>
            <w:tcW w:type="dxa" w:w="2000"/>
          </w:tcPr>
          <w:p>
            <w:pPr>
              <w:spacing w:after="0" w:line="252" w:lineRule="auto"/>
            </w:pPr>
            <w:r>
              <w:rPr>
                <w:rFonts w:ascii="Calibri" w:hAnsi="Calibri"/>
                <w:b w:val="0"/>
                <w:i w:val="0"/>
                <w:color w:val="111111"/>
                <w:sz w:val="17"/>
              </w:rPr>
              <w:t>Automation</w:t>
            </w:r>
          </w:p>
        </w:tc>
        <w:tc>
          <w:tcPr>
            <w:tcW w:type="dxa" w:w="7360"/>
          </w:tcPr>
          <w:p>
            <w:pPr>
              <w:spacing w:after="0" w:line="252" w:lineRule="auto"/>
            </w:pPr>
            <w:r>
              <w:rPr>
                <w:rFonts w:ascii="Calibri" w:hAnsi="Calibri"/>
                <w:b w:val="0"/>
                <w:i w:val="0"/>
                <w:color w:val="111111"/>
                <w:sz w:val="17"/>
              </w:rPr>
              <w:t>Need scheduled deadlines, notifications, penalties, projections, or background reconciliation.</w:t>
            </w:r>
          </w:p>
        </w:tc>
      </w:tr>
      <w:tr>
        <w:tc>
          <w:tcPr>
            <w:tcW w:type="dxa" w:w="2000"/>
          </w:tcPr>
          <w:p>
            <w:pPr>
              <w:spacing w:after="0" w:line="252" w:lineRule="auto"/>
            </w:pPr>
            <w:r>
              <w:rPr>
                <w:rFonts w:ascii="Calibri" w:hAnsi="Calibri"/>
                <w:b w:val="0"/>
                <w:i w:val="0"/>
                <w:color w:val="111111"/>
                <w:sz w:val="17"/>
              </w:rPr>
              <w:t>Operations</w:t>
            </w:r>
          </w:p>
        </w:tc>
        <w:tc>
          <w:tcPr>
            <w:tcW w:type="dxa" w:w="7360"/>
          </w:tcPr>
          <w:p>
            <w:pPr>
              <w:spacing w:after="0" w:line="252" w:lineRule="auto"/>
            </w:pPr>
            <w:r>
              <w:rPr>
                <w:rFonts w:ascii="Calibri" w:hAnsi="Calibri"/>
                <w:b w:val="0"/>
                <w:i w:val="0"/>
                <w:color w:val="111111"/>
                <w:sz w:val="17"/>
              </w:rPr>
              <w:t>Need centralized audit events, alerting, retry queues, or service-level objectives.</w:t>
            </w:r>
          </w:p>
        </w:tc>
      </w:tr>
      <w:tr>
        <w:tc>
          <w:tcPr>
            <w:tcW w:type="dxa" w:w="2000"/>
          </w:tcPr>
          <w:p>
            <w:pPr>
              <w:spacing w:after="0" w:line="252" w:lineRule="auto"/>
            </w:pPr>
            <w:r>
              <w:rPr>
                <w:rFonts w:ascii="Calibri" w:hAnsi="Calibri"/>
                <w:b w:val="0"/>
                <w:i w:val="0"/>
                <w:color w:val="111111"/>
                <w:sz w:val="17"/>
              </w:rPr>
              <w:t>Integration</w:t>
            </w:r>
          </w:p>
        </w:tc>
        <w:tc>
          <w:tcPr>
            <w:tcW w:type="dxa" w:w="7360"/>
          </w:tcPr>
          <w:p>
            <w:pPr>
              <w:spacing w:after="0" w:line="252" w:lineRule="auto"/>
            </w:pPr>
            <w:r>
              <w:rPr>
                <w:rFonts w:ascii="Calibri" w:hAnsi="Calibri"/>
                <w:b w:val="0"/>
                <w:i w:val="0"/>
                <w:color w:val="111111"/>
                <w:sz w:val="17"/>
              </w:rPr>
              <w:t>Need email/SMS, payments, court systems, or third-party APIs requiring secrets.</w:t>
            </w:r>
          </w:p>
        </w:tc>
      </w:tr>
    </w:tbl>
    <w:p>
      <w:pPr>
        <w:spacing w:after="40"/>
      </w:pPr>
    </w:p>
    <w:p>
      <w:pPr>
        <w:pStyle w:val="Heading1"/>
        <w:keepNext/>
      </w:pPr>
      <w:r>
        <w:t>17. Open architecture decisions for ARB</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700"/>
        <w:gridCol w:w="5900"/>
        <w:gridCol w:w="2760"/>
      </w:tblGrid>
      <w:tr>
        <w:trPr>
          <w:tblHeader w:val="true"/>
        </w:trPr>
        <w:tc>
          <w:tcPr>
            <w:tcW w:type="dxa" w:w="7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ID</w:t>
            </w:r>
          </w:p>
        </w:tc>
        <w:tc>
          <w:tcPr>
            <w:tcW w:type="dxa" w:w="59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Question</w:t>
            </w:r>
          </w:p>
        </w:tc>
        <w:tc>
          <w:tcPr>
            <w:tcW w:type="dxa" w:w="276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Required decision</w:t>
            </w:r>
          </w:p>
        </w:tc>
      </w:tr>
      <w:tr>
        <w:tc>
          <w:tcPr>
            <w:tcW w:type="dxa" w:w="700"/>
          </w:tcPr>
          <w:p>
            <w:pPr>
              <w:spacing w:after="0" w:line="252" w:lineRule="auto"/>
            </w:pPr>
            <w:r>
              <w:rPr>
                <w:rFonts w:ascii="Calibri" w:hAnsi="Calibri"/>
                <w:b w:val="0"/>
                <w:i w:val="0"/>
                <w:color w:val="111111"/>
                <w:sz w:val="16"/>
              </w:rPr>
              <w:t>A1</w:t>
            </w:r>
          </w:p>
        </w:tc>
        <w:tc>
          <w:tcPr>
            <w:tcW w:type="dxa" w:w="5900"/>
          </w:tcPr>
          <w:p>
            <w:pPr>
              <w:spacing w:after="0" w:line="252" w:lineRule="auto"/>
            </w:pPr>
            <w:r>
              <w:rPr>
                <w:rFonts w:ascii="Calibri" w:hAnsi="Calibri"/>
                <w:b w:val="0"/>
                <w:i w:val="0"/>
                <w:color w:val="111111"/>
                <w:sz w:val="16"/>
              </w:rPr>
              <w:t>Is the Spark-safe privileged-client model acceptable through the next season?</w:t>
            </w:r>
          </w:p>
        </w:tc>
        <w:tc>
          <w:tcPr>
            <w:tcW w:type="dxa" w:w="2760"/>
          </w:tcPr>
          <w:p>
            <w:pPr>
              <w:spacing w:after="0" w:line="252" w:lineRule="auto"/>
            </w:pPr>
            <w:r>
              <w:rPr>
                <w:rFonts w:ascii="Calibri" w:hAnsi="Calibri"/>
                <w:b w:val="0"/>
                <w:i w:val="0"/>
                <w:color w:val="111111"/>
                <w:sz w:val="16"/>
              </w:rPr>
              <w:t>Approve interim / require Blaze before launch</w:t>
            </w:r>
          </w:p>
        </w:tc>
      </w:tr>
      <w:tr>
        <w:tc>
          <w:tcPr>
            <w:tcW w:type="dxa" w:w="700"/>
          </w:tcPr>
          <w:p>
            <w:pPr>
              <w:spacing w:after="0" w:line="252" w:lineRule="auto"/>
            </w:pPr>
            <w:r>
              <w:rPr>
                <w:rFonts w:ascii="Calibri" w:hAnsi="Calibri"/>
                <w:b w:val="0"/>
                <w:i w:val="0"/>
                <w:color w:val="111111"/>
                <w:sz w:val="16"/>
              </w:rPr>
              <w:t>A2</w:t>
            </w:r>
          </w:p>
        </w:tc>
        <w:tc>
          <w:tcPr>
            <w:tcW w:type="dxa" w:w="5900"/>
          </w:tcPr>
          <w:p>
            <w:pPr>
              <w:spacing w:after="0" w:line="252" w:lineRule="auto"/>
            </w:pPr>
            <w:r>
              <w:rPr>
                <w:rFonts w:ascii="Calibri" w:hAnsi="Calibri"/>
                <w:b w:val="0"/>
                <w:i w:val="0"/>
                <w:color w:val="111111"/>
                <w:sz w:val="16"/>
              </w:rPr>
              <w:t>Is self-approval by a Neutral Approver acceptable when explicitly recorded?</w:t>
            </w:r>
          </w:p>
        </w:tc>
        <w:tc>
          <w:tcPr>
            <w:tcW w:type="dxa" w:w="2760"/>
          </w:tcPr>
          <w:p>
            <w:pPr>
              <w:spacing w:after="0" w:line="252" w:lineRule="auto"/>
            </w:pPr>
            <w:r>
              <w:rPr>
                <w:rFonts w:ascii="Calibri" w:hAnsi="Calibri"/>
                <w:b w:val="0"/>
                <w:i w:val="0"/>
                <w:color w:val="111111"/>
                <w:sz w:val="16"/>
              </w:rPr>
              <w:t>Accept / require separate approver</w:t>
            </w:r>
          </w:p>
        </w:tc>
      </w:tr>
      <w:tr>
        <w:tc>
          <w:tcPr>
            <w:tcW w:type="dxa" w:w="700"/>
          </w:tcPr>
          <w:p>
            <w:pPr>
              <w:spacing w:after="0" w:line="252" w:lineRule="auto"/>
            </w:pPr>
            <w:r>
              <w:rPr>
                <w:rFonts w:ascii="Calibri" w:hAnsi="Calibri"/>
                <w:b w:val="0"/>
                <w:i w:val="0"/>
                <w:color w:val="111111"/>
                <w:sz w:val="16"/>
              </w:rPr>
              <w:t>A3</w:t>
            </w:r>
          </w:p>
        </w:tc>
        <w:tc>
          <w:tcPr>
            <w:tcW w:type="dxa" w:w="5900"/>
          </w:tcPr>
          <w:p>
            <w:pPr>
              <w:spacing w:after="0" w:line="252" w:lineRule="auto"/>
            </w:pPr>
            <w:r>
              <w:rPr>
                <w:rFonts w:ascii="Calibri" w:hAnsi="Calibri"/>
                <w:b w:val="0"/>
                <w:i w:val="0"/>
                <w:color w:val="111111"/>
                <w:sz w:val="16"/>
              </w:rPr>
              <w:t>Should a Neutral Approver be season-wide or restricted to matchup assignments?</w:t>
            </w:r>
          </w:p>
        </w:tc>
        <w:tc>
          <w:tcPr>
            <w:tcW w:type="dxa" w:w="2760"/>
          </w:tcPr>
          <w:p>
            <w:pPr>
              <w:spacing w:after="0" w:line="252" w:lineRule="auto"/>
            </w:pPr>
            <w:r>
              <w:rPr>
                <w:rFonts w:ascii="Calibri" w:hAnsi="Calibri"/>
                <w:b w:val="0"/>
                <w:i w:val="0"/>
                <w:color w:val="111111"/>
                <w:sz w:val="16"/>
              </w:rPr>
              <w:t>Season / week / matchup policy</w:t>
            </w:r>
          </w:p>
        </w:tc>
      </w:tr>
      <w:tr>
        <w:tc>
          <w:tcPr>
            <w:tcW w:type="dxa" w:w="700"/>
          </w:tcPr>
          <w:p>
            <w:pPr>
              <w:spacing w:after="0" w:line="252" w:lineRule="auto"/>
            </w:pPr>
            <w:r>
              <w:rPr>
                <w:rFonts w:ascii="Calibri" w:hAnsi="Calibri"/>
                <w:b w:val="0"/>
                <w:i w:val="0"/>
                <w:color w:val="111111"/>
                <w:sz w:val="16"/>
              </w:rPr>
              <w:t>A4</w:t>
            </w:r>
          </w:p>
        </w:tc>
        <w:tc>
          <w:tcPr>
            <w:tcW w:type="dxa" w:w="5900"/>
          </w:tcPr>
          <w:p>
            <w:pPr>
              <w:spacing w:after="0" w:line="252" w:lineRule="auto"/>
            </w:pPr>
            <w:r>
              <w:rPr>
                <w:rFonts w:ascii="Calibri" w:hAnsi="Calibri"/>
                <w:b w:val="0"/>
                <w:i w:val="0"/>
                <w:color w:val="111111"/>
                <w:sz w:val="16"/>
              </w:rPr>
              <w:t>What event triggers mandatory Blaze migration?</w:t>
            </w:r>
          </w:p>
        </w:tc>
        <w:tc>
          <w:tcPr>
            <w:tcW w:type="dxa" w:w="2760"/>
          </w:tcPr>
          <w:p>
            <w:pPr>
              <w:spacing w:after="0" w:line="252" w:lineRule="auto"/>
            </w:pPr>
            <w:r>
              <w:rPr>
                <w:rFonts w:ascii="Calibri" w:hAnsi="Calibri"/>
                <w:b w:val="0"/>
                <w:i w:val="0"/>
                <w:color w:val="111111"/>
                <w:sz w:val="16"/>
              </w:rPr>
              <w:t>Date, user volume, security control, or feature dependency</w:t>
            </w:r>
          </w:p>
        </w:tc>
      </w:tr>
      <w:tr>
        <w:tc>
          <w:tcPr>
            <w:tcW w:type="dxa" w:w="700"/>
          </w:tcPr>
          <w:p>
            <w:pPr>
              <w:spacing w:after="0" w:line="252" w:lineRule="auto"/>
            </w:pPr>
            <w:r>
              <w:rPr>
                <w:rFonts w:ascii="Calibri" w:hAnsi="Calibri"/>
                <w:b w:val="0"/>
                <w:i w:val="0"/>
                <w:color w:val="111111"/>
                <w:sz w:val="16"/>
              </w:rPr>
              <w:t>A5</w:t>
            </w:r>
          </w:p>
        </w:tc>
        <w:tc>
          <w:tcPr>
            <w:tcW w:type="dxa" w:w="5900"/>
          </w:tcPr>
          <w:p>
            <w:pPr>
              <w:spacing w:after="0" w:line="252" w:lineRule="auto"/>
            </w:pPr>
            <w:r>
              <w:rPr>
                <w:rFonts w:ascii="Calibri" w:hAnsi="Calibri"/>
                <w:b w:val="0"/>
                <w:i w:val="0"/>
                <w:color w:val="111111"/>
                <w:sz w:val="16"/>
              </w:rPr>
              <w:t>What are retention periods for private player data and immutable competition records?</w:t>
            </w:r>
          </w:p>
        </w:tc>
        <w:tc>
          <w:tcPr>
            <w:tcW w:type="dxa" w:w="2760"/>
          </w:tcPr>
          <w:p>
            <w:pPr>
              <w:spacing w:after="0" w:line="252" w:lineRule="auto"/>
            </w:pPr>
            <w:r>
              <w:rPr>
                <w:rFonts w:ascii="Calibri" w:hAnsi="Calibri"/>
                <w:b w:val="0"/>
                <w:i w:val="0"/>
                <w:color w:val="111111"/>
                <w:sz w:val="16"/>
              </w:rPr>
              <w:t>Retention schedule</w:t>
            </w:r>
          </w:p>
        </w:tc>
      </w:tr>
      <w:tr>
        <w:tc>
          <w:tcPr>
            <w:tcW w:type="dxa" w:w="700"/>
          </w:tcPr>
          <w:p>
            <w:pPr>
              <w:spacing w:after="0" w:line="252" w:lineRule="auto"/>
            </w:pPr>
            <w:r>
              <w:rPr>
                <w:rFonts w:ascii="Calibri" w:hAnsi="Calibri"/>
                <w:b w:val="0"/>
                <w:i w:val="0"/>
                <w:color w:val="111111"/>
                <w:sz w:val="16"/>
              </w:rPr>
              <w:t>A6</w:t>
            </w:r>
          </w:p>
        </w:tc>
        <w:tc>
          <w:tcPr>
            <w:tcW w:type="dxa" w:w="5900"/>
          </w:tcPr>
          <w:p>
            <w:pPr>
              <w:spacing w:after="0" w:line="252" w:lineRule="auto"/>
            </w:pPr>
            <w:r>
              <w:rPr>
                <w:rFonts w:ascii="Calibri" w:hAnsi="Calibri"/>
                <w:b w:val="0"/>
                <w:i w:val="0"/>
                <w:color w:val="111111"/>
                <w:sz w:val="16"/>
              </w:rPr>
              <w:t>What RTO/RPO applies to season operations?</w:t>
            </w:r>
          </w:p>
        </w:tc>
        <w:tc>
          <w:tcPr>
            <w:tcW w:type="dxa" w:w="2760"/>
          </w:tcPr>
          <w:p>
            <w:pPr>
              <w:spacing w:after="0" w:line="252" w:lineRule="auto"/>
            </w:pPr>
            <w:r>
              <w:rPr>
                <w:rFonts w:ascii="Calibri" w:hAnsi="Calibri"/>
                <w:b w:val="0"/>
                <w:i w:val="0"/>
                <w:color w:val="111111"/>
                <w:sz w:val="16"/>
              </w:rPr>
              <w:t>Recovery objectives</w:t>
            </w:r>
          </w:p>
        </w:tc>
      </w:tr>
      <w:tr>
        <w:tc>
          <w:tcPr>
            <w:tcW w:type="dxa" w:w="700"/>
          </w:tcPr>
          <w:p>
            <w:pPr>
              <w:spacing w:after="0" w:line="252" w:lineRule="auto"/>
            </w:pPr>
            <w:r>
              <w:rPr>
                <w:rFonts w:ascii="Calibri" w:hAnsi="Calibri"/>
                <w:b w:val="0"/>
                <w:i w:val="0"/>
                <w:color w:val="111111"/>
                <w:sz w:val="16"/>
              </w:rPr>
              <w:t>A7</w:t>
            </w:r>
          </w:p>
        </w:tc>
        <w:tc>
          <w:tcPr>
            <w:tcW w:type="dxa" w:w="5900"/>
          </w:tcPr>
          <w:p>
            <w:pPr>
              <w:spacing w:after="0" w:line="252" w:lineRule="auto"/>
            </w:pPr>
            <w:r>
              <w:rPr>
                <w:rFonts w:ascii="Calibri" w:hAnsi="Calibri"/>
                <w:b w:val="0"/>
                <w:i w:val="0"/>
                <w:color w:val="111111"/>
                <w:sz w:val="16"/>
              </w:rPr>
              <w:t>Who owns production deployment approval and emergency rollback?</w:t>
            </w:r>
          </w:p>
        </w:tc>
        <w:tc>
          <w:tcPr>
            <w:tcW w:type="dxa" w:w="2760"/>
          </w:tcPr>
          <w:p>
            <w:pPr>
              <w:spacing w:after="0" w:line="252" w:lineRule="auto"/>
            </w:pPr>
            <w:r>
              <w:rPr>
                <w:rFonts w:ascii="Calibri" w:hAnsi="Calibri"/>
                <w:b w:val="0"/>
                <w:i w:val="0"/>
                <w:color w:val="111111"/>
                <w:sz w:val="16"/>
              </w:rPr>
              <w:t>Named operational owner</w:t>
            </w:r>
          </w:p>
        </w:tc>
      </w:tr>
      <w:tr>
        <w:tc>
          <w:tcPr>
            <w:tcW w:type="dxa" w:w="700"/>
          </w:tcPr>
          <w:p>
            <w:pPr>
              <w:spacing w:after="0" w:line="252" w:lineRule="auto"/>
            </w:pPr>
            <w:r>
              <w:rPr>
                <w:rFonts w:ascii="Calibri" w:hAnsi="Calibri"/>
                <w:b w:val="0"/>
                <w:i w:val="0"/>
                <w:color w:val="111111"/>
                <w:sz w:val="16"/>
              </w:rPr>
              <w:t>A8</w:t>
            </w:r>
          </w:p>
        </w:tc>
        <w:tc>
          <w:tcPr>
            <w:tcW w:type="dxa" w:w="5900"/>
          </w:tcPr>
          <w:p>
            <w:pPr>
              <w:spacing w:after="0" w:line="252" w:lineRule="auto"/>
            </w:pPr>
            <w:r>
              <w:rPr>
                <w:rFonts w:ascii="Calibri" w:hAnsi="Calibri"/>
                <w:b w:val="0"/>
                <w:i w:val="0"/>
                <w:color w:val="111111"/>
                <w:sz w:val="16"/>
              </w:rPr>
              <w:t>Which earlier specification clauses are formally superseded by this document?</w:t>
            </w:r>
          </w:p>
        </w:tc>
        <w:tc>
          <w:tcPr>
            <w:tcW w:type="dxa" w:w="2760"/>
          </w:tcPr>
          <w:p>
            <w:pPr>
              <w:spacing w:after="0" w:line="252" w:lineRule="auto"/>
            </w:pPr>
            <w:r>
              <w:rPr>
                <w:rFonts w:ascii="Calibri" w:hAnsi="Calibri"/>
                <w:b w:val="0"/>
                <w:i w:val="0"/>
                <w:color w:val="111111"/>
                <w:sz w:val="16"/>
              </w:rPr>
              <w:t>Baseline reconciliation</w:t>
            </w:r>
          </w:p>
        </w:tc>
      </w:tr>
    </w:tbl>
    <w:p>
      <w:pPr>
        <w:spacing w:after="40"/>
      </w:pPr>
    </w:p>
    <w:p>
      <w:pPr>
        <w:pStyle w:val="Heading2"/>
        <w:keepNext/>
      </w:pPr>
      <w:r>
        <w:t>17.1 Proposed ARB disposition</w:t>
      </w:r>
    </w:p>
    <w:tbl>
      <w:tblPr>
        <w:tblW w:type="dxa" w:w="9360"/>
        <w:jc w:val="left"/>
        <w:tblLayout w:type="fixed"/>
        <w:tblLook w:firstColumn="1" w:firstRow="1" w:lastColumn="0" w:lastRow="0" w:noHBand="0" w:noVBand="1" w:val="04A0"/>
        <w:tblInd w:w="120" w:type="dxa"/>
        <w:tblBorders>
          <w:top w:val="single" w:sz="4" w:space="0" w:color="EAF5EC"/>
          <w:left w:val="single" w:sz="4" w:space="0" w:color="EAF5EC"/>
          <w:bottom w:val="single" w:sz="4" w:space="0" w:color="EAF5EC"/>
          <w:right w:val="single" w:sz="4" w:space="0" w:color="EAF5EC"/>
          <w:insideH w:val="single" w:sz="4" w:space="0" w:color="EAF5EC"/>
          <w:insideV w:val="single" w:sz="4" w:space="0" w:color="EAF5EC"/>
        </w:tblBorders>
      </w:tblPr>
      <w:tblGrid>
        <w:gridCol w:w="9360"/>
      </w:tblGrid>
      <w:tr>
        <w:tc>
          <w:tcPr>
            <w:tcW w:type="dxa" w:w="9360"/>
            <w:tcMar>
              <w:top w:w="80" w:type="dxa"/>
              <w:start w:w="120" w:type="dxa"/>
              <w:bottom w:w="80" w:type="dxa"/>
              <w:end w:w="120" w:type="dxa"/>
            </w:tcMar>
            <w:vAlign w:val="center"/>
            <w:shd w:fill="EAF5EC"/>
          </w:tcPr>
          <w:p>
            <w:pPr>
              <w:spacing w:after="0"/>
            </w:pPr>
            <w:r>
              <w:rPr>
                <w:rFonts w:ascii="Calibri" w:hAnsi="Calibri"/>
                <w:b/>
                <w:i w:val="0"/>
                <w:color w:val="256D3B"/>
                <w:sz w:val="22"/>
              </w:rPr>
              <w:t xml:space="preserve">Proposed decision: </w:t>
            </w:r>
            <w:r>
              <w:rPr>
                <w:rFonts w:ascii="Calibri" w:hAnsi="Calibri"/>
                <w:b w:val="0"/>
                <w:i w:val="0"/>
                <w:color w:val="111111"/>
                <w:sz w:val="22"/>
              </w:rPr>
              <w:t>Approve with conditions C1-C6. Permit Spark-safe operation for the current trusted league-administration scope. Require a Blaze migration before introducing untrusted delegated administrators, secret-bearing integrations, automated deadline enforcement, or a security requirement for server-side reset validation.</w:t>
            </w:r>
          </w:p>
        </w:tc>
      </w:tr>
    </w:tbl>
    <w:p>
      <w:pPr>
        <w:spacing w:after="40"/>
      </w:pPr>
    </w:p>
    <w:p>
      <w:pPr>
        <w:pStyle w:val="Heading1"/>
        <w:keepNext/>
      </w:pPr>
      <w:r>
        <w:t>Appendix A. Lineup state transition reference</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1700"/>
        <w:gridCol w:w="1750"/>
        <w:gridCol w:w="2350"/>
        <w:gridCol w:w="3560"/>
      </w:tblGrid>
      <w:tr>
        <w:trPr>
          <w:tblHeader w:val="true"/>
        </w:trPr>
        <w:tc>
          <w:tcPr>
            <w:tcW w:type="dxa" w:w="170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From</w:t>
            </w:r>
          </w:p>
        </w:tc>
        <w:tc>
          <w:tcPr>
            <w:tcW w:type="dxa" w:w="175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To</w:t>
            </w:r>
          </w:p>
        </w:tc>
        <w:tc>
          <w:tcPr>
            <w:tcW w:type="dxa" w:w="235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Actor</w:t>
            </w:r>
          </w:p>
        </w:tc>
        <w:tc>
          <w:tcPr>
            <w:tcW w:type="dxa" w:w="3560"/>
            <w:tcMar>
              <w:top w:w="80" w:type="dxa"/>
              <w:start w:w="120" w:type="dxa"/>
              <w:bottom w:w="80" w:type="dxa"/>
              <w:end w:w="120" w:type="dxa"/>
            </w:tcMar>
            <w:vAlign w:val="center"/>
            <w:shd w:fill="F2F4F7"/>
          </w:tcPr>
          <w:p>
            <w:pPr>
              <w:spacing w:after="0" w:line="252" w:lineRule="auto"/>
            </w:pPr>
            <w:r>
              <w:rPr>
                <w:rFonts w:ascii="Calibri" w:hAnsi="Calibri"/>
                <w:b/>
                <w:i w:val="0"/>
                <w:color w:val="0B2545"/>
                <w:sz w:val="16"/>
              </w:rPr>
              <w:t>Guard/effect</w:t>
            </w:r>
          </w:p>
        </w:tc>
      </w:tr>
      <w:tr>
        <w:tc>
          <w:tcPr>
            <w:tcW w:type="dxa" w:w="1700"/>
          </w:tcPr>
          <w:p>
            <w:pPr>
              <w:spacing w:after="0" w:line="252" w:lineRule="auto"/>
            </w:pPr>
            <w:r>
              <w:rPr>
                <w:rFonts w:ascii="Calibri" w:hAnsi="Calibri"/>
                <w:b w:val="0"/>
                <w:i w:val="0"/>
                <w:color w:val="111111"/>
                <w:sz w:val="16"/>
              </w:rPr>
              <w:t>pendingSubmission</w:t>
            </w:r>
          </w:p>
        </w:tc>
        <w:tc>
          <w:tcPr>
            <w:tcW w:type="dxa" w:w="1750"/>
          </w:tcPr>
          <w:p>
            <w:pPr>
              <w:spacing w:after="0" w:line="252" w:lineRule="auto"/>
            </w:pPr>
            <w:r>
              <w:rPr>
                <w:rFonts w:ascii="Calibri" w:hAnsi="Calibri"/>
                <w:b w:val="0"/>
                <w:i w:val="0"/>
                <w:color w:val="111111"/>
                <w:sz w:val="16"/>
              </w:rPr>
              <w:t>submitted</w:t>
            </w:r>
          </w:p>
        </w:tc>
        <w:tc>
          <w:tcPr>
            <w:tcW w:type="dxa" w:w="2350"/>
          </w:tcPr>
          <w:p>
            <w:pPr>
              <w:spacing w:after="0" w:line="252" w:lineRule="auto"/>
            </w:pPr>
            <w:r>
              <w:rPr>
                <w:rFonts w:ascii="Calibri" w:hAnsi="Calibri"/>
                <w:b w:val="0"/>
                <w:i w:val="0"/>
                <w:color w:val="111111"/>
                <w:sz w:val="16"/>
              </w:rPr>
              <w:t>Captain, EC, Approver, Super Admin</w:t>
            </w:r>
          </w:p>
        </w:tc>
        <w:tc>
          <w:tcPr>
            <w:tcW w:type="dxa" w:w="3560"/>
          </w:tcPr>
          <w:p>
            <w:pPr>
              <w:spacing w:after="0" w:line="252" w:lineRule="auto"/>
            </w:pPr>
            <w:r>
              <w:rPr>
                <w:rFonts w:ascii="Calibri" w:hAnsi="Calibri"/>
                <w:b w:val="0"/>
                <w:i w:val="0"/>
                <w:color w:val="111111"/>
                <w:sz w:val="16"/>
              </w:rPr>
              <w:t>Valid five-line roster; new revision and action</w:t>
            </w:r>
          </w:p>
        </w:tc>
      </w:tr>
      <w:tr>
        <w:tc>
          <w:tcPr>
            <w:tcW w:type="dxa" w:w="1700"/>
          </w:tcPr>
          <w:p>
            <w:pPr>
              <w:spacing w:after="0" w:line="252" w:lineRule="auto"/>
            </w:pPr>
            <w:r>
              <w:rPr>
                <w:rFonts w:ascii="Calibri" w:hAnsi="Calibri"/>
                <w:b w:val="0"/>
                <w:i w:val="0"/>
                <w:color w:val="111111"/>
                <w:sz w:val="16"/>
              </w:rPr>
              <w:t>rejected</w:t>
            </w:r>
          </w:p>
        </w:tc>
        <w:tc>
          <w:tcPr>
            <w:tcW w:type="dxa" w:w="1750"/>
          </w:tcPr>
          <w:p>
            <w:pPr>
              <w:spacing w:after="0" w:line="252" w:lineRule="auto"/>
            </w:pPr>
            <w:r>
              <w:rPr>
                <w:rFonts w:ascii="Calibri" w:hAnsi="Calibri"/>
                <w:b w:val="0"/>
                <w:i w:val="0"/>
                <w:color w:val="111111"/>
                <w:sz w:val="16"/>
              </w:rPr>
              <w:t>submitted</w:t>
            </w:r>
          </w:p>
        </w:tc>
        <w:tc>
          <w:tcPr>
            <w:tcW w:type="dxa" w:w="2350"/>
          </w:tcPr>
          <w:p>
            <w:pPr>
              <w:spacing w:after="0" w:line="252" w:lineRule="auto"/>
            </w:pPr>
            <w:r>
              <w:rPr>
                <w:rFonts w:ascii="Calibri" w:hAnsi="Calibri"/>
                <w:b w:val="0"/>
                <w:i w:val="0"/>
                <w:color w:val="111111"/>
                <w:sz w:val="16"/>
              </w:rPr>
              <w:t>Captain, EC, Approver, Super Admin</w:t>
            </w:r>
          </w:p>
        </w:tc>
        <w:tc>
          <w:tcPr>
            <w:tcW w:type="dxa" w:w="3560"/>
          </w:tcPr>
          <w:p>
            <w:pPr>
              <w:spacing w:after="0" w:line="252" w:lineRule="auto"/>
            </w:pPr>
            <w:r>
              <w:rPr>
                <w:rFonts w:ascii="Calibri" w:hAnsi="Calibri"/>
                <w:b w:val="0"/>
                <w:i w:val="0"/>
                <w:color w:val="111111"/>
                <w:sz w:val="16"/>
              </w:rPr>
              <w:t>Corrected valid lineup; new revision</w:t>
            </w:r>
          </w:p>
        </w:tc>
      </w:tr>
      <w:tr>
        <w:tc>
          <w:tcPr>
            <w:tcW w:type="dxa" w:w="1700"/>
          </w:tcPr>
          <w:p>
            <w:pPr>
              <w:spacing w:after="0" w:line="252" w:lineRule="auto"/>
            </w:pPr>
            <w:r>
              <w:rPr>
                <w:rFonts w:ascii="Calibri" w:hAnsi="Calibri"/>
                <w:b w:val="0"/>
                <w:i w:val="0"/>
                <w:color w:val="111111"/>
                <w:sz w:val="16"/>
              </w:rPr>
              <w:t>submitted</w:t>
            </w:r>
          </w:p>
        </w:tc>
        <w:tc>
          <w:tcPr>
            <w:tcW w:type="dxa" w:w="1750"/>
          </w:tcPr>
          <w:p>
            <w:pPr>
              <w:spacing w:after="0" w:line="252" w:lineRule="auto"/>
            </w:pPr>
            <w:r>
              <w:rPr>
                <w:rFonts w:ascii="Calibri" w:hAnsi="Calibri"/>
                <w:b w:val="0"/>
                <w:i w:val="0"/>
                <w:color w:val="111111"/>
                <w:sz w:val="16"/>
              </w:rPr>
              <w:t>approved</w:t>
            </w:r>
          </w:p>
        </w:tc>
        <w:tc>
          <w:tcPr>
            <w:tcW w:type="dxa" w:w="2350"/>
          </w:tcPr>
          <w:p>
            <w:pPr>
              <w:spacing w:after="0" w:line="252" w:lineRule="auto"/>
            </w:pPr>
            <w:r>
              <w:rPr>
                <w:rFonts w:ascii="Calibri" w:hAnsi="Calibri"/>
                <w:b w:val="0"/>
                <w:i w:val="0"/>
                <w:color w:val="111111"/>
                <w:sz w:val="16"/>
              </w:rPr>
              <w:t>Approver, Super Admin</w:t>
            </w:r>
          </w:p>
        </w:tc>
        <w:tc>
          <w:tcPr>
            <w:tcW w:type="dxa" w:w="3560"/>
          </w:tcPr>
          <w:p>
            <w:pPr>
              <w:spacing w:after="0" w:line="252" w:lineRule="auto"/>
            </w:pPr>
            <w:r>
              <w:rPr>
                <w:rFonts w:ascii="Calibri" w:hAnsi="Calibri"/>
                <w:b w:val="0"/>
                <w:i w:val="0"/>
                <w:color w:val="111111"/>
                <w:sz w:val="16"/>
              </w:rPr>
              <w:t>Current revision; decision audit</w:t>
            </w:r>
          </w:p>
        </w:tc>
      </w:tr>
      <w:tr>
        <w:tc>
          <w:tcPr>
            <w:tcW w:type="dxa" w:w="1700"/>
          </w:tcPr>
          <w:p>
            <w:pPr>
              <w:spacing w:after="0" w:line="252" w:lineRule="auto"/>
            </w:pPr>
            <w:r>
              <w:rPr>
                <w:rFonts w:ascii="Calibri" w:hAnsi="Calibri"/>
                <w:b w:val="0"/>
                <w:i w:val="0"/>
                <w:color w:val="111111"/>
                <w:sz w:val="16"/>
              </w:rPr>
              <w:t>submitted</w:t>
            </w:r>
          </w:p>
        </w:tc>
        <w:tc>
          <w:tcPr>
            <w:tcW w:type="dxa" w:w="1750"/>
          </w:tcPr>
          <w:p>
            <w:pPr>
              <w:spacing w:after="0" w:line="252" w:lineRule="auto"/>
            </w:pPr>
            <w:r>
              <w:rPr>
                <w:rFonts w:ascii="Calibri" w:hAnsi="Calibri"/>
                <w:b w:val="0"/>
                <w:i w:val="0"/>
                <w:color w:val="111111"/>
                <w:sz w:val="16"/>
              </w:rPr>
              <w:t>rejected</w:t>
            </w:r>
          </w:p>
        </w:tc>
        <w:tc>
          <w:tcPr>
            <w:tcW w:type="dxa" w:w="2350"/>
          </w:tcPr>
          <w:p>
            <w:pPr>
              <w:spacing w:after="0" w:line="252" w:lineRule="auto"/>
            </w:pPr>
            <w:r>
              <w:rPr>
                <w:rFonts w:ascii="Calibri" w:hAnsi="Calibri"/>
                <w:b w:val="0"/>
                <w:i w:val="0"/>
                <w:color w:val="111111"/>
                <w:sz w:val="16"/>
              </w:rPr>
              <w:t>Approver, Super Admin</w:t>
            </w:r>
          </w:p>
        </w:tc>
        <w:tc>
          <w:tcPr>
            <w:tcW w:type="dxa" w:w="3560"/>
          </w:tcPr>
          <w:p>
            <w:pPr>
              <w:spacing w:after="0" w:line="252" w:lineRule="auto"/>
            </w:pPr>
            <w:r>
              <w:rPr>
                <w:rFonts w:ascii="Calibri" w:hAnsi="Calibri"/>
                <w:b w:val="0"/>
                <w:i w:val="0"/>
                <w:color w:val="111111"/>
                <w:sz w:val="16"/>
              </w:rPr>
              <w:t>Required reason</w:t>
            </w:r>
          </w:p>
        </w:tc>
      </w:tr>
      <w:tr>
        <w:tc>
          <w:tcPr>
            <w:tcW w:type="dxa" w:w="1700"/>
          </w:tcPr>
          <w:p>
            <w:pPr>
              <w:spacing w:after="0" w:line="252" w:lineRule="auto"/>
            </w:pPr>
            <w:r>
              <w:rPr>
                <w:rFonts w:ascii="Calibri" w:hAnsi="Calibri"/>
                <w:b w:val="0"/>
                <w:i w:val="0"/>
                <w:color w:val="111111"/>
                <w:sz w:val="16"/>
              </w:rPr>
              <w:t>approved</w:t>
            </w:r>
          </w:p>
        </w:tc>
        <w:tc>
          <w:tcPr>
            <w:tcW w:type="dxa" w:w="1750"/>
          </w:tcPr>
          <w:p>
            <w:pPr>
              <w:spacing w:after="0" w:line="252" w:lineRule="auto"/>
            </w:pPr>
            <w:r>
              <w:rPr>
                <w:rFonts w:ascii="Calibri" w:hAnsi="Calibri"/>
                <w:b w:val="0"/>
                <w:i w:val="0"/>
                <w:color w:val="111111"/>
                <w:sz w:val="16"/>
              </w:rPr>
              <w:t>rejected</w:t>
            </w:r>
          </w:p>
        </w:tc>
        <w:tc>
          <w:tcPr>
            <w:tcW w:type="dxa" w:w="2350"/>
          </w:tcPr>
          <w:p>
            <w:pPr>
              <w:spacing w:after="0" w:line="252" w:lineRule="auto"/>
            </w:pPr>
            <w:r>
              <w:rPr>
                <w:rFonts w:ascii="Calibri" w:hAnsi="Calibri"/>
                <w:b w:val="0"/>
                <w:i w:val="0"/>
                <w:color w:val="111111"/>
                <w:sz w:val="16"/>
              </w:rPr>
              <w:t>Approver, Super Admin</w:t>
            </w:r>
          </w:p>
        </w:tc>
        <w:tc>
          <w:tcPr>
            <w:tcW w:type="dxa" w:w="3560"/>
          </w:tcPr>
          <w:p>
            <w:pPr>
              <w:spacing w:after="0" w:line="252" w:lineRule="auto"/>
            </w:pPr>
            <w:r>
              <w:rPr>
                <w:rFonts w:ascii="Calibri" w:hAnsi="Calibri"/>
                <w:b w:val="0"/>
                <w:i w:val="0"/>
                <w:color w:val="111111"/>
                <w:sz w:val="16"/>
              </w:rPr>
              <w:t>Only before matchup is fullyApproved</w:t>
            </w:r>
          </w:p>
        </w:tc>
      </w:tr>
      <w:tr>
        <w:tc>
          <w:tcPr>
            <w:tcW w:type="dxa" w:w="1700"/>
          </w:tcPr>
          <w:p>
            <w:pPr>
              <w:spacing w:after="0" w:line="252" w:lineRule="auto"/>
            </w:pPr>
            <w:r>
              <w:rPr>
                <w:rFonts w:ascii="Calibri" w:hAnsi="Calibri"/>
                <w:b w:val="0"/>
                <w:i w:val="0"/>
                <w:color w:val="111111"/>
                <w:sz w:val="16"/>
              </w:rPr>
              <w:t>approved + approved</w:t>
            </w:r>
          </w:p>
        </w:tc>
        <w:tc>
          <w:tcPr>
            <w:tcW w:type="dxa" w:w="1750"/>
          </w:tcPr>
          <w:p>
            <w:pPr>
              <w:spacing w:after="0" w:line="252" w:lineRule="auto"/>
            </w:pPr>
            <w:r>
              <w:rPr>
                <w:rFonts w:ascii="Calibri" w:hAnsi="Calibri"/>
                <w:b w:val="0"/>
                <w:i w:val="0"/>
                <w:color w:val="111111"/>
                <w:sz w:val="16"/>
              </w:rPr>
              <w:t>fullyApproved</w:t>
            </w:r>
          </w:p>
        </w:tc>
        <w:tc>
          <w:tcPr>
            <w:tcW w:type="dxa" w:w="2350"/>
          </w:tcPr>
          <w:p>
            <w:pPr>
              <w:spacing w:after="0" w:line="252" w:lineRule="auto"/>
            </w:pPr>
            <w:r>
              <w:rPr>
                <w:rFonts w:ascii="Calibri" w:hAnsi="Calibri"/>
                <w:b w:val="0"/>
                <w:i w:val="0"/>
                <w:color w:val="111111"/>
                <w:sz w:val="16"/>
              </w:rPr>
              <w:t>System transaction</w:t>
            </w:r>
          </w:p>
        </w:tc>
        <w:tc>
          <w:tcPr>
            <w:tcW w:type="dxa" w:w="3560"/>
          </w:tcPr>
          <w:p>
            <w:pPr>
              <w:spacing w:after="0" w:line="252" w:lineRule="auto"/>
            </w:pPr>
            <w:r>
              <w:rPr>
                <w:rFonts w:ascii="Calibri" w:hAnsi="Calibri"/>
                <w:b w:val="0"/>
                <w:i w:val="0"/>
                <w:color w:val="111111"/>
                <w:sz w:val="16"/>
              </w:rPr>
              <w:t>Publish both and enable five line matches</w:t>
            </w:r>
          </w:p>
        </w:tc>
      </w:tr>
      <w:tr>
        <w:tc>
          <w:tcPr>
            <w:tcW w:type="dxa" w:w="1700"/>
          </w:tcPr>
          <w:p>
            <w:pPr>
              <w:spacing w:after="0" w:line="252" w:lineRule="auto"/>
            </w:pPr>
            <w:r>
              <w:rPr>
                <w:rFonts w:ascii="Calibri" w:hAnsi="Calibri"/>
                <w:b w:val="0"/>
                <w:i w:val="0"/>
                <w:color w:val="111111"/>
                <w:sz w:val="16"/>
              </w:rPr>
              <w:t>fullyApproved</w:t>
            </w:r>
          </w:p>
        </w:tc>
        <w:tc>
          <w:tcPr>
            <w:tcW w:type="dxa" w:w="1750"/>
          </w:tcPr>
          <w:p>
            <w:pPr>
              <w:spacing w:after="0" w:line="252" w:lineRule="auto"/>
            </w:pPr>
            <w:r>
              <w:rPr>
                <w:rFonts w:ascii="Calibri" w:hAnsi="Calibri"/>
                <w:b w:val="0"/>
                <w:i w:val="0"/>
                <w:color w:val="111111"/>
                <w:sz w:val="16"/>
              </w:rPr>
              <w:t>awaitingSubmission</w:t>
            </w:r>
          </w:p>
        </w:tc>
        <w:tc>
          <w:tcPr>
            <w:tcW w:type="dxa" w:w="2350"/>
          </w:tcPr>
          <w:p>
            <w:pPr>
              <w:spacing w:after="0" w:line="252" w:lineRule="auto"/>
            </w:pPr>
            <w:r>
              <w:rPr>
                <w:rFonts w:ascii="Calibri" w:hAnsi="Calibri"/>
                <w:b w:val="0"/>
                <w:i w:val="0"/>
                <w:color w:val="111111"/>
                <w:sz w:val="16"/>
              </w:rPr>
              <w:t>Approver, Super Admin</w:t>
            </w:r>
          </w:p>
        </w:tc>
        <w:tc>
          <w:tcPr>
            <w:tcW w:type="dxa" w:w="3560"/>
          </w:tcPr>
          <w:p>
            <w:pPr>
              <w:spacing w:after="0" w:line="252" w:lineRule="auto"/>
            </w:pPr>
            <w:r>
              <w:rPr>
                <w:rFonts w:ascii="Calibri" w:hAnsi="Calibri"/>
                <w:b w:val="0"/>
                <w:i w:val="0"/>
                <w:color w:val="111111"/>
                <w:sz w:val="16"/>
              </w:rPr>
              <w:t>Reset both, no detected score activity, reason and exact confirmation</w:t>
            </w:r>
          </w:p>
        </w:tc>
      </w:tr>
    </w:tbl>
    <w:p>
      <w:pPr>
        <w:spacing w:after="40"/>
      </w:pPr>
    </w:p>
    <w:p>
      <w:pPr>
        <w:pStyle w:val="Heading1"/>
        <w:keepNext/>
      </w:pPr>
      <w:r>
        <w:t>Appendix B. Firestore Rules ownership summary</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3000"/>
        <w:gridCol w:w="6360"/>
      </w:tblGrid>
      <w:tr>
        <w:trPr>
          <w:tblHeader w:val="true"/>
        </w:trPr>
        <w:tc>
          <w:tcPr>
            <w:tcW w:type="dxa" w:w="30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Path</w:t>
            </w:r>
          </w:p>
        </w:tc>
        <w:tc>
          <w:tcPr>
            <w:tcW w:type="dxa" w:w="63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Ownership rule</w:t>
            </w:r>
          </w:p>
        </w:tc>
      </w:tr>
      <w:tr>
        <w:tc>
          <w:tcPr>
            <w:tcW w:type="dxa" w:w="3000"/>
          </w:tcPr>
          <w:p>
            <w:pPr>
              <w:spacing w:after="0" w:line="252" w:lineRule="auto"/>
            </w:pPr>
            <w:r>
              <w:rPr>
                <w:rFonts w:ascii="Calibri" w:hAnsi="Calibri"/>
                <w:b w:val="0"/>
                <w:i w:val="0"/>
                <w:color w:val="111111"/>
                <w:sz w:val="17"/>
              </w:rPr>
              <w:t>users</w:t>
            </w:r>
          </w:p>
        </w:tc>
        <w:tc>
          <w:tcPr>
            <w:tcW w:type="dxa" w:w="6360"/>
          </w:tcPr>
          <w:p>
            <w:pPr>
              <w:spacing w:after="0" w:line="252" w:lineRule="auto"/>
            </w:pPr>
            <w:r>
              <w:rPr>
                <w:rFonts w:ascii="Calibri" w:hAnsi="Calibri"/>
                <w:b w:val="0"/>
                <w:i w:val="0"/>
                <w:color w:val="111111"/>
                <w:sz w:val="17"/>
              </w:rPr>
              <w:t>Owner limited profile updates; Super Admin account management</w:t>
            </w:r>
          </w:p>
        </w:tc>
      </w:tr>
      <w:tr>
        <w:tc>
          <w:tcPr>
            <w:tcW w:type="dxa" w:w="3000"/>
          </w:tcPr>
          <w:p>
            <w:pPr>
              <w:spacing w:after="0" w:line="252" w:lineRule="auto"/>
            </w:pPr>
            <w:r>
              <w:rPr>
                <w:rFonts w:ascii="Calibri" w:hAnsi="Calibri"/>
                <w:b w:val="0"/>
                <w:i w:val="0"/>
                <w:color w:val="111111"/>
                <w:sz w:val="17"/>
              </w:rPr>
              <w:t>players / playerPrivate</w:t>
            </w:r>
          </w:p>
        </w:tc>
        <w:tc>
          <w:tcPr>
            <w:tcW w:type="dxa" w:w="6360"/>
          </w:tcPr>
          <w:p>
            <w:pPr>
              <w:spacing w:after="0" w:line="252" w:lineRule="auto"/>
            </w:pPr>
            <w:r>
              <w:rPr>
                <w:rFonts w:ascii="Calibri" w:hAnsi="Calibri"/>
                <w:b w:val="0"/>
                <w:i w:val="0"/>
                <w:color w:val="111111"/>
                <w:sz w:val="17"/>
              </w:rPr>
              <w:t>Public active player read vs restricted PII</w:t>
            </w:r>
          </w:p>
        </w:tc>
      </w:tr>
      <w:tr>
        <w:tc>
          <w:tcPr>
            <w:tcW w:type="dxa" w:w="3000"/>
          </w:tcPr>
          <w:p>
            <w:pPr>
              <w:spacing w:after="0" w:line="252" w:lineRule="auto"/>
            </w:pPr>
            <w:r>
              <w:rPr>
                <w:rFonts w:ascii="Calibri" w:hAnsi="Calibri"/>
                <w:b w:val="0"/>
                <w:i w:val="0"/>
                <w:color w:val="111111"/>
                <w:sz w:val="17"/>
              </w:rPr>
              <w:t>seasons / members</w:t>
            </w:r>
          </w:p>
        </w:tc>
        <w:tc>
          <w:tcPr>
            <w:tcW w:type="dxa" w:w="6360"/>
          </w:tcPr>
          <w:p>
            <w:pPr>
              <w:spacing w:after="0" w:line="252" w:lineRule="auto"/>
            </w:pPr>
            <w:r>
              <w:rPr>
                <w:rFonts w:ascii="Calibri" w:hAnsi="Calibri"/>
                <w:b w:val="0"/>
                <w:i w:val="0"/>
                <w:color w:val="111111"/>
                <w:sz w:val="17"/>
              </w:rPr>
              <w:t>Active member reads; Super Admin writes</w:t>
            </w:r>
          </w:p>
        </w:tc>
      </w:tr>
      <w:tr>
        <w:tc>
          <w:tcPr>
            <w:tcW w:type="dxa" w:w="3000"/>
          </w:tcPr>
          <w:p>
            <w:pPr>
              <w:spacing w:after="0" w:line="252" w:lineRule="auto"/>
            </w:pPr>
            <w:r>
              <w:rPr>
                <w:rFonts w:ascii="Calibri" w:hAnsi="Calibri"/>
                <w:b w:val="0"/>
                <w:i w:val="0"/>
                <w:color w:val="111111"/>
                <w:sz w:val="17"/>
              </w:rPr>
              <w:t>teams / rosters / weeks</w:t>
            </w:r>
          </w:p>
        </w:tc>
        <w:tc>
          <w:tcPr>
            <w:tcW w:type="dxa" w:w="6360"/>
          </w:tcPr>
          <w:p>
            <w:pPr>
              <w:spacing w:after="0" w:line="252" w:lineRule="auto"/>
            </w:pPr>
            <w:r>
              <w:rPr>
                <w:rFonts w:ascii="Calibri" w:hAnsi="Calibri"/>
                <w:b w:val="0"/>
                <w:i w:val="0"/>
                <w:color w:val="111111"/>
                <w:sz w:val="17"/>
              </w:rPr>
              <w:t>Season members read; EC/Super Admin write</w:t>
            </w:r>
          </w:p>
        </w:tc>
      </w:tr>
      <w:tr>
        <w:tc>
          <w:tcPr>
            <w:tcW w:type="dxa" w:w="3000"/>
          </w:tcPr>
          <w:p>
            <w:pPr>
              <w:spacing w:after="0" w:line="252" w:lineRule="auto"/>
            </w:pPr>
            <w:r>
              <w:rPr>
                <w:rFonts w:ascii="Calibri" w:hAnsi="Calibri"/>
                <w:b w:val="0"/>
                <w:i w:val="0"/>
                <w:color w:val="111111"/>
                <w:sz w:val="17"/>
              </w:rPr>
              <w:t>matchups</w:t>
            </w:r>
          </w:p>
        </w:tc>
        <w:tc>
          <w:tcPr>
            <w:tcW w:type="dxa" w:w="6360"/>
          </w:tcPr>
          <w:p>
            <w:pPr>
              <w:spacing w:after="0" w:line="252" w:lineRule="auto"/>
            </w:pPr>
            <w:r>
              <w:rPr>
                <w:rFonts w:ascii="Calibri" w:hAnsi="Calibri"/>
                <w:b w:val="0"/>
                <w:i w:val="0"/>
                <w:color w:val="111111"/>
                <w:sz w:val="17"/>
              </w:rPr>
              <w:t>Workflow fields through validated role/status transitions; admin structural writes</w:t>
            </w:r>
          </w:p>
        </w:tc>
      </w:tr>
      <w:tr>
        <w:tc>
          <w:tcPr>
            <w:tcW w:type="dxa" w:w="3000"/>
          </w:tcPr>
          <w:p>
            <w:pPr>
              <w:spacing w:after="0" w:line="252" w:lineRule="auto"/>
            </w:pPr>
            <w:r>
              <w:rPr>
                <w:rFonts w:ascii="Calibri" w:hAnsi="Calibri"/>
                <w:b w:val="0"/>
                <w:i w:val="0"/>
                <w:color w:val="111111"/>
                <w:sz w:val="17"/>
              </w:rPr>
              <w:t>lineups</w:t>
            </w:r>
          </w:p>
        </w:tc>
        <w:tc>
          <w:tcPr>
            <w:tcW w:type="dxa" w:w="6360"/>
          </w:tcPr>
          <w:p>
            <w:pPr>
              <w:spacing w:after="0" w:line="252" w:lineRule="auto"/>
            </w:pPr>
            <w:r>
              <w:rPr>
                <w:rFonts w:ascii="Calibri" w:hAnsi="Calibri"/>
                <w:b w:val="0"/>
                <w:i w:val="0"/>
                <w:color w:val="111111"/>
                <w:sz w:val="17"/>
              </w:rPr>
              <w:t>Team-scoped draft/submission; reviewer decisions through operation binding</w:t>
            </w:r>
          </w:p>
        </w:tc>
      </w:tr>
      <w:tr>
        <w:tc>
          <w:tcPr>
            <w:tcW w:type="dxa" w:w="3000"/>
          </w:tcPr>
          <w:p>
            <w:pPr>
              <w:spacing w:after="0" w:line="252" w:lineRule="auto"/>
            </w:pPr>
            <w:r>
              <w:rPr>
                <w:rFonts w:ascii="Calibri" w:hAnsi="Calibri"/>
                <w:b w:val="0"/>
                <w:i w:val="0"/>
                <w:color w:val="111111"/>
                <w:sz w:val="17"/>
              </w:rPr>
              <w:t>revisions / lineupReviews</w:t>
            </w:r>
          </w:p>
        </w:tc>
        <w:tc>
          <w:tcPr>
            <w:tcW w:type="dxa" w:w="6360"/>
          </w:tcPr>
          <w:p>
            <w:pPr>
              <w:spacing w:after="0" w:line="252" w:lineRule="auto"/>
            </w:pPr>
            <w:r>
              <w:rPr>
                <w:rFonts w:ascii="Calibri" w:hAnsi="Calibri"/>
                <w:b w:val="0"/>
                <w:i w:val="0"/>
                <w:color w:val="111111"/>
                <w:sz w:val="17"/>
              </w:rPr>
              <w:t>Create-only official evidence</w:t>
            </w:r>
          </w:p>
        </w:tc>
      </w:tr>
      <w:tr>
        <w:tc>
          <w:tcPr>
            <w:tcW w:type="dxa" w:w="3000"/>
          </w:tcPr>
          <w:p>
            <w:pPr>
              <w:spacing w:after="0" w:line="252" w:lineRule="auto"/>
            </w:pPr>
            <w:r>
              <w:rPr>
                <w:rFonts w:ascii="Calibri" w:hAnsi="Calibri"/>
                <w:b w:val="0"/>
                <w:i w:val="0"/>
                <w:color w:val="111111"/>
                <w:sz w:val="17"/>
              </w:rPr>
              <w:t>lineMatches</w:t>
            </w:r>
          </w:p>
        </w:tc>
        <w:tc>
          <w:tcPr>
            <w:tcW w:type="dxa" w:w="6360"/>
          </w:tcPr>
          <w:p>
            <w:pPr>
              <w:spacing w:after="0" w:line="252" w:lineRule="auto"/>
            </w:pPr>
            <w:r>
              <w:rPr>
                <w:rFonts w:ascii="Calibri" w:hAnsi="Calibri"/>
                <w:b w:val="0"/>
                <w:i w:val="0"/>
                <w:color w:val="111111"/>
                <w:sz w:val="17"/>
              </w:rPr>
              <w:t>Reviewer publication/reset fields; Captain/EC schedule and score fields</w:t>
            </w:r>
          </w:p>
        </w:tc>
      </w:tr>
      <w:tr>
        <w:tc>
          <w:tcPr>
            <w:tcW w:type="dxa" w:w="3000"/>
          </w:tcPr>
          <w:p>
            <w:pPr>
              <w:spacing w:after="0" w:line="252" w:lineRule="auto"/>
            </w:pPr>
            <w:r>
              <w:rPr>
                <w:rFonts w:ascii="Calibri" w:hAnsi="Calibri"/>
                <w:b w:val="0"/>
                <w:i w:val="0"/>
                <w:color w:val="111111"/>
                <w:sz w:val="17"/>
              </w:rPr>
              <w:t>approverAssignments</w:t>
            </w:r>
          </w:p>
        </w:tc>
        <w:tc>
          <w:tcPr>
            <w:tcW w:type="dxa" w:w="6360"/>
          </w:tcPr>
          <w:p>
            <w:pPr>
              <w:spacing w:after="0" w:line="252" w:lineRule="auto"/>
            </w:pPr>
            <w:r>
              <w:rPr>
                <w:rFonts w:ascii="Calibri" w:hAnsi="Calibri"/>
                <w:b w:val="0"/>
                <w:i w:val="0"/>
                <w:color w:val="111111"/>
                <w:sz w:val="17"/>
              </w:rPr>
              <w:t>Authorized self/EC reads; Super Admin writes</w:t>
            </w:r>
          </w:p>
        </w:tc>
      </w:tr>
      <w:tr>
        <w:tc>
          <w:tcPr>
            <w:tcW w:type="dxa" w:w="3000"/>
          </w:tcPr>
          <w:p>
            <w:pPr>
              <w:spacing w:after="0" w:line="252" w:lineRule="auto"/>
            </w:pPr>
            <w:r>
              <w:rPr>
                <w:rFonts w:ascii="Calibri" w:hAnsi="Calibri"/>
                <w:b w:val="0"/>
                <w:i w:val="0"/>
                <w:color w:val="111111"/>
                <w:sz w:val="17"/>
              </w:rPr>
              <w:t>standings / snapshots</w:t>
            </w:r>
          </w:p>
        </w:tc>
        <w:tc>
          <w:tcPr>
            <w:tcW w:type="dxa" w:w="6360"/>
          </w:tcPr>
          <w:p>
            <w:pPr>
              <w:spacing w:after="0" w:line="252" w:lineRule="auto"/>
            </w:pPr>
            <w:r>
              <w:rPr>
                <w:rFonts w:ascii="Calibri" w:hAnsi="Calibri"/>
                <w:b w:val="0"/>
                <w:i w:val="0"/>
                <w:color w:val="111111"/>
                <w:sz w:val="17"/>
              </w:rPr>
              <w:t>Member reads; protected calculated writes</w:t>
            </w:r>
          </w:p>
        </w:tc>
      </w:tr>
      <w:tr>
        <w:tc>
          <w:tcPr>
            <w:tcW w:type="dxa" w:w="3000"/>
          </w:tcPr>
          <w:p>
            <w:pPr>
              <w:spacing w:after="0" w:line="252" w:lineRule="auto"/>
            </w:pPr>
            <w:r>
              <w:rPr>
                <w:rFonts w:ascii="Calibri" w:hAnsi="Calibri"/>
                <w:b w:val="0"/>
                <w:i w:val="0"/>
                <w:color w:val="111111"/>
                <w:sz w:val="17"/>
              </w:rPr>
              <w:t>auditEvents</w:t>
            </w:r>
          </w:p>
        </w:tc>
        <w:tc>
          <w:tcPr>
            <w:tcW w:type="dxa" w:w="6360"/>
          </w:tcPr>
          <w:p>
            <w:pPr>
              <w:spacing w:after="0" w:line="252" w:lineRule="auto"/>
            </w:pPr>
            <w:r>
              <w:rPr>
                <w:rFonts w:ascii="Calibri" w:hAnsi="Calibri"/>
                <w:b w:val="0"/>
                <w:i w:val="0"/>
                <w:color w:val="111111"/>
                <w:sz w:val="17"/>
              </w:rPr>
              <w:t>EC reads; protected writes</w:t>
            </w:r>
          </w:p>
        </w:tc>
      </w:tr>
      <w:tr>
        <w:tc>
          <w:tcPr>
            <w:tcW w:type="dxa" w:w="3000"/>
          </w:tcPr>
          <w:p>
            <w:pPr>
              <w:spacing w:after="0" w:line="252" w:lineRule="auto"/>
            </w:pPr>
            <w:r>
              <w:rPr>
                <w:rFonts w:ascii="Calibri" w:hAnsi="Calibri"/>
                <w:b w:val="0"/>
                <w:i w:val="0"/>
                <w:color w:val="111111"/>
                <w:sz w:val="17"/>
              </w:rPr>
              <w:t>unmatched paths</w:t>
            </w:r>
          </w:p>
        </w:tc>
        <w:tc>
          <w:tcPr>
            <w:tcW w:type="dxa" w:w="6360"/>
          </w:tcPr>
          <w:p>
            <w:pPr>
              <w:spacing w:after="0" w:line="252" w:lineRule="auto"/>
            </w:pPr>
            <w:r>
              <w:rPr>
                <w:rFonts w:ascii="Calibri" w:hAnsi="Calibri"/>
                <w:b w:val="0"/>
                <w:i w:val="0"/>
                <w:color w:val="111111"/>
                <w:sz w:val="17"/>
              </w:rPr>
              <w:t>Deny by default</w:t>
            </w:r>
          </w:p>
        </w:tc>
      </w:tr>
    </w:tbl>
    <w:p>
      <w:pPr>
        <w:spacing w:after="40"/>
      </w:pPr>
    </w:p>
    <w:p>
      <w:pPr>
        <w:pStyle w:val="Heading1"/>
        <w:keepNext/>
      </w:pPr>
      <w:r>
        <w:t>Appendix C. Architecture evidence</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3100"/>
        <w:gridCol w:w="6260"/>
      </w:tblGrid>
      <w:tr>
        <w:trPr>
          <w:tblHeader w:val="true"/>
        </w:trPr>
        <w:tc>
          <w:tcPr>
            <w:tcW w:type="dxa" w:w="31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Artifact</w:t>
            </w:r>
          </w:p>
        </w:tc>
        <w:tc>
          <w:tcPr>
            <w:tcW w:type="dxa" w:w="62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Evidence</w:t>
            </w:r>
          </w:p>
        </w:tc>
      </w:tr>
      <w:tr>
        <w:tc>
          <w:tcPr>
            <w:tcW w:type="dxa" w:w="3100"/>
          </w:tcPr>
          <w:p>
            <w:pPr>
              <w:spacing w:after="0" w:line="252" w:lineRule="auto"/>
            </w:pPr>
            <w:r>
              <w:rPr>
                <w:rFonts w:ascii="Calibri" w:hAnsi="Calibri"/>
                <w:b w:val="0"/>
                <w:i w:val="0"/>
                <w:color w:val="111111"/>
                <w:sz w:val="17"/>
              </w:rPr>
              <w:t>ALPHAOPEN_APP_SPEC.md</w:t>
            </w:r>
          </w:p>
        </w:tc>
        <w:tc>
          <w:tcPr>
            <w:tcW w:type="dxa" w:w="6260"/>
          </w:tcPr>
          <w:p>
            <w:pPr>
              <w:spacing w:after="0" w:line="252" w:lineRule="auto"/>
            </w:pPr>
            <w:r>
              <w:rPr>
                <w:rFonts w:ascii="Calibri" w:hAnsi="Calibri"/>
                <w:b w:val="0"/>
                <w:i w:val="0"/>
                <w:color w:val="111111"/>
                <w:sz w:val="17"/>
              </w:rPr>
              <w:t>Product scope, roles, nonfunctional requirements, original workflow baseline</w:t>
            </w:r>
          </w:p>
        </w:tc>
      </w:tr>
      <w:tr>
        <w:tc>
          <w:tcPr>
            <w:tcW w:type="dxa" w:w="3100"/>
          </w:tcPr>
          <w:p>
            <w:pPr>
              <w:spacing w:after="0" w:line="252" w:lineRule="auto"/>
            </w:pPr>
            <w:r>
              <w:rPr>
                <w:rFonts w:ascii="Calibri" w:hAnsi="Calibri"/>
                <w:b w:val="0"/>
                <w:i w:val="0"/>
                <w:color w:val="111111"/>
                <w:sz w:val="17"/>
              </w:rPr>
              <w:t>FIRESTORE_DATA_MODEL.md</w:t>
            </w:r>
          </w:p>
        </w:tc>
        <w:tc>
          <w:tcPr>
            <w:tcW w:type="dxa" w:w="6260"/>
          </w:tcPr>
          <w:p>
            <w:pPr>
              <w:spacing w:after="0" w:line="252" w:lineRule="auto"/>
            </w:pPr>
            <w:r>
              <w:rPr>
                <w:rFonts w:ascii="Calibri" w:hAnsi="Calibri"/>
                <w:b w:val="0"/>
                <w:i w:val="0"/>
                <w:color w:val="111111"/>
                <w:sz w:val="17"/>
              </w:rPr>
              <w:t>Canonical schema, identifiers, collections, ownership, indexes</w:t>
            </w:r>
          </w:p>
        </w:tc>
      </w:tr>
      <w:tr>
        <w:tc>
          <w:tcPr>
            <w:tcW w:type="dxa" w:w="3100"/>
          </w:tcPr>
          <w:p>
            <w:pPr>
              <w:spacing w:after="0" w:line="252" w:lineRule="auto"/>
            </w:pPr>
            <w:r>
              <w:rPr>
                <w:rFonts w:ascii="Calibri" w:hAnsi="Calibri"/>
                <w:b w:val="0"/>
                <w:i w:val="0"/>
                <w:color w:val="111111"/>
                <w:sz w:val="17"/>
              </w:rPr>
              <w:t>firebase.json</w:t>
            </w:r>
          </w:p>
        </w:tc>
        <w:tc>
          <w:tcPr>
            <w:tcW w:type="dxa" w:w="6260"/>
          </w:tcPr>
          <w:p>
            <w:pPr>
              <w:spacing w:after="0" w:line="252" w:lineRule="auto"/>
            </w:pPr>
            <w:r>
              <w:rPr>
                <w:rFonts w:ascii="Calibri" w:hAnsi="Calibri"/>
                <w:b w:val="0"/>
                <w:i w:val="0"/>
                <w:color w:val="111111"/>
                <w:sz w:val="17"/>
              </w:rPr>
              <w:t>Hosting, Firestore, emulator, and deployment configuration</w:t>
            </w:r>
          </w:p>
        </w:tc>
      </w:tr>
      <w:tr>
        <w:tc>
          <w:tcPr>
            <w:tcW w:type="dxa" w:w="3100"/>
          </w:tcPr>
          <w:p>
            <w:pPr>
              <w:spacing w:after="0" w:line="252" w:lineRule="auto"/>
            </w:pPr>
            <w:r>
              <w:rPr>
                <w:rFonts w:ascii="Calibri" w:hAnsi="Calibri"/>
                <w:b w:val="0"/>
                <w:i w:val="0"/>
                <w:color w:val="111111"/>
                <w:sz w:val="17"/>
              </w:rPr>
              <w:t>firestore.rules</w:t>
            </w:r>
          </w:p>
        </w:tc>
        <w:tc>
          <w:tcPr>
            <w:tcW w:type="dxa" w:w="6260"/>
          </w:tcPr>
          <w:p>
            <w:pPr>
              <w:spacing w:after="0" w:line="252" w:lineRule="auto"/>
            </w:pPr>
            <w:r>
              <w:rPr>
                <w:rFonts w:ascii="Calibri" w:hAnsi="Calibri"/>
                <w:b w:val="0"/>
                <w:i w:val="0"/>
                <w:color w:val="111111"/>
                <w:sz w:val="17"/>
              </w:rPr>
              <w:t>Authorization and workflow transition enforcement</w:t>
            </w:r>
          </w:p>
        </w:tc>
      </w:tr>
      <w:tr>
        <w:tc>
          <w:tcPr>
            <w:tcW w:type="dxa" w:w="3100"/>
          </w:tcPr>
          <w:p>
            <w:pPr>
              <w:spacing w:after="0" w:line="252" w:lineRule="auto"/>
            </w:pPr>
            <w:r>
              <w:rPr>
                <w:rFonts w:ascii="Calibri" w:hAnsi="Calibri"/>
                <w:b w:val="0"/>
                <w:i w:val="0"/>
                <w:color w:val="111111"/>
                <w:sz w:val="17"/>
              </w:rPr>
              <w:t>firestore.indexes.json</w:t>
            </w:r>
          </w:p>
        </w:tc>
        <w:tc>
          <w:tcPr>
            <w:tcW w:type="dxa" w:w="6260"/>
          </w:tcPr>
          <w:p>
            <w:pPr>
              <w:spacing w:after="0" w:line="252" w:lineRule="auto"/>
            </w:pPr>
            <w:r>
              <w:rPr>
                <w:rFonts w:ascii="Calibri" w:hAnsi="Calibri"/>
                <w:b w:val="0"/>
                <w:i w:val="0"/>
                <w:color w:val="111111"/>
                <w:sz w:val="17"/>
              </w:rPr>
              <w:t>Composite query support</w:t>
            </w:r>
          </w:p>
        </w:tc>
      </w:tr>
      <w:tr>
        <w:tc>
          <w:tcPr>
            <w:tcW w:type="dxa" w:w="3100"/>
          </w:tcPr>
          <w:p>
            <w:pPr>
              <w:spacing w:after="0" w:line="252" w:lineRule="auto"/>
            </w:pPr>
            <w:r>
              <w:rPr>
                <w:rFonts w:ascii="Calibri" w:hAnsi="Calibri"/>
                <w:b w:val="0"/>
                <w:i w:val="0"/>
                <w:color w:val="111111"/>
                <w:sz w:val="17"/>
              </w:rPr>
              <w:t>firebase-auth.js</w:t>
            </w:r>
          </w:p>
        </w:tc>
        <w:tc>
          <w:tcPr>
            <w:tcW w:type="dxa" w:w="6260"/>
          </w:tcPr>
          <w:p>
            <w:pPr>
              <w:spacing w:after="0" w:line="252" w:lineRule="auto"/>
            </w:pPr>
            <w:r>
              <w:rPr>
                <w:rFonts w:ascii="Calibri" w:hAnsi="Calibri"/>
                <w:b w:val="0"/>
                <w:i w:val="0"/>
                <w:color w:val="111111"/>
                <w:sz w:val="17"/>
              </w:rPr>
              <w:t>Authentication, registration, profile, and role derivation</w:t>
            </w:r>
          </w:p>
        </w:tc>
      </w:tr>
      <w:tr>
        <w:tc>
          <w:tcPr>
            <w:tcW w:type="dxa" w:w="3100"/>
          </w:tcPr>
          <w:p>
            <w:pPr>
              <w:spacing w:after="0" w:line="252" w:lineRule="auto"/>
            </w:pPr>
            <w:r>
              <w:rPr>
                <w:rFonts w:ascii="Calibri" w:hAnsi="Calibri"/>
                <w:b w:val="0"/>
                <w:i w:val="0"/>
                <w:color w:val="111111"/>
                <w:sz w:val="17"/>
              </w:rPr>
              <w:t>runtime-loader.js / service-worker.js</w:t>
            </w:r>
          </w:p>
        </w:tc>
        <w:tc>
          <w:tcPr>
            <w:tcW w:type="dxa" w:w="6260"/>
          </w:tcPr>
          <w:p>
            <w:pPr>
              <w:spacing w:after="0" w:line="252" w:lineRule="auto"/>
            </w:pPr>
            <w:r>
              <w:rPr>
                <w:rFonts w:ascii="Calibri" w:hAnsi="Calibri"/>
                <w:b w:val="0"/>
                <w:i w:val="0"/>
                <w:color w:val="111111"/>
                <w:sz w:val="17"/>
              </w:rPr>
              <w:t>Module lifecycle, caching, and PWA runtime</w:t>
            </w:r>
          </w:p>
        </w:tc>
      </w:tr>
      <w:tr>
        <w:tc>
          <w:tcPr>
            <w:tcW w:type="dxa" w:w="3100"/>
          </w:tcPr>
          <w:p>
            <w:pPr>
              <w:spacing w:after="0" w:line="252" w:lineRule="auto"/>
            </w:pPr>
            <w:r>
              <w:rPr>
                <w:rFonts w:ascii="Calibri" w:hAnsi="Calibri"/>
                <w:b w:val="0"/>
                <w:i w:val="0"/>
                <w:color w:val="111111"/>
                <w:sz w:val="17"/>
              </w:rPr>
              <w:t>lineup-workflow-client.js</w:t>
            </w:r>
          </w:p>
        </w:tc>
        <w:tc>
          <w:tcPr>
            <w:tcW w:type="dxa" w:w="6260"/>
          </w:tcPr>
          <w:p>
            <w:pPr>
              <w:spacing w:after="0" w:line="252" w:lineRule="auto"/>
            </w:pPr>
            <w:r>
              <w:rPr>
                <w:rFonts w:ascii="Calibri" w:hAnsi="Calibri"/>
                <w:b w:val="0"/>
                <w:i w:val="0"/>
                <w:color w:val="111111"/>
                <w:sz w:val="17"/>
              </w:rPr>
              <w:t>Spark-safe official workflow transactions</w:t>
            </w:r>
          </w:p>
        </w:tc>
      </w:tr>
      <w:tr>
        <w:tc>
          <w:tcPr>
            <w:tcW w:type="dxa" w:w="3100"/>
          </w:tcPr>
          <w:p>
            <w:pPr>
              <w:spacing w:after="0" w:line="252" w:lineRule="auto"/>
            </w:pPr>
            <w:r>
              <w:rPr>
                <w:rFonts w:ascii="Calibri" w:hAnsi="Calibri"/>
                <w:b w:val="0"/>
                <w:i w:val="0"/>
                <w:color w:val="111111"/>
                <w:sz w:val="17"/>
              </w:rPr>
              <w:t>lineup-submit.js / lineup-approve.js / lineup-reset.js</w:t>
            </w:r>
          </w:p>
        </w:tc>
        <w:tc>
          <w:tcPr>
            <w:tcW w:type="dxa" w:w="6260"/>
          </w:tcPr>
          <w:p>
            <w:pPr>
              <w:spacing w:after="0" w:line="252" w:lineRule="auto"/>
            </w:pPr>
            <w:r>
              <w:rPr>
                <w:rFonts w:ascii="Calibri" w:hAnsi="Calibri"/>
                <w:b w:val="0"/>
                <w:i w:val="0"/>
                <w:color w:val="111111"/>
                <w:sz w:val="17"/>
              </w:rPr>
              <w:t>Role-specific UI workflows</w:t>
            </w:r>
          </w:p>
        </w:tc>
      </w:tr>
      <w:tr>
        <w:tc>
          <w:tcPr>
            <w:tcW w:type="dxa" w:w="3100"/>
          </w:tcPr>
          <w:p>
            <w:pPr>
              <w:spacing w:after="0" w:line="252" w:lineRule="auto"/>
            </w:pPr>
            <w:r>
              <w:rPr>
                <w:rFonts w:ascii="Calibri" w:hAnsi="Calibri"/>
                <w:b w:val="0"/>
                <w:i w:val="0"/>
                <w:color w:val="111111"/>
                <w:sz w:val="17"/>
              </w:rPr>
              <w:t>match-management.js / score-rules.js</w:t>
            </w:r>
          </w:p>
        </w:tc>
        <w:tc>
          <w:tcPr>
            <w:tcW w:type="dxa" w:w="6260"/>
          </w:tcPr>
          <w:p>
            <w:pPr>
              <w:spacing w:after="0" w:line="252" w:lineRule="auto"/>
            </w:pPr>
            <w:r>
              <w:rPr>
                <w:rFonts w:ascii="Calibri" w:hAnsi="Calibri"/>
                <w:b w:val="0"/>
                <w:i w:val="0"/>
                <w:color w:val="111111"/>
                <w:sz w:val="17"/>
              </w:rPr>
              <w:t>Scheduling, scoring, locking, and points</w:t>
            </w:r>
          </w:p>
        </w:tc>
      </w:tr>
      <w:tr>
        <w:tc>
          <w:tcPr>
            <w:tcW w:type="dxa" w:w="3100"/>
          </w:tcPr>
          <w:p>
            <w:pPr>
              <w:spacing w:after="0" w:line="252" w:lineRule="auto"/>
            </w:pPr>
            <w:r>
              <w:rPr>
                <w:rFonts w:ascii="Calibri" w:hAnsi="Calibri"/>
                <w:b w:val="0"/>
                <w:i w:val="0"/>
                <w:color w:val="111111"/>
                <w:sz w:val="17"/>
              </w:rPr>
              <w:t>test-prototype.mjs / emulator tests</w:t>
            </w:r>
          </w:p>
        </w:tc>
        <w:tc>
          <w:tcPr>
            <w:tcW w:type="dxa" w:w="6260"/>
          </w:tcPr>
          <w:p>
            <w:pPr>
              <w:spacing w:after="0" w:line="252" w:lineRule="auto"/>
            </w:pPr>
            <w:r>
              <w:rPr>
                <w:rFonts w:ascii="Calibri" w:hAnsi="Calibri"/>
                <w:b w:val="0"/>
                <w:i w:val="0"/>
                <w:color w:val="111111"/>
                <w:sz w:val="17"/>
              </w:rPr>
              <w:t>Architecture and security assurance evidence</w:t>
            </w:r>
          </w:p>
        </w:tc>
      </w:tr>
    </w:tbl>
    <w:p>
      <w:pPr>
        <w:spacing w:after="40"/>
      </w:pPr>
    </w:p>
    <w:p>
      <w:pPr>
        <w:pStyle w:val="Heading1"/>
        <w:keepNext/>
      </w:pPr>
      <w:r>
        <w:t>Appendix D. Glossary</w:t>
      </w:r>
    </w:p>
    <w:tbl>
      <w:tblPr>
        <w:tblStyle w:val="TableGrid"/>
        <w:tblW w:type="dxa" w:w="9360"/>
        <w:jc w:val="left"/>
        <w:tblLayout w:type="fixed"/>
        <w:tblLook w:firstColumn="1" w:firstRow="1" w:lastColumn="0" w:lastRow="0" w:noHBand="0" w:noVBand="1" w:val="04A0"/>
        <w:tblInd w:w="120" w:type="dxa"/>
        <w:tblBorders>
          <w:top w:val="single" w:sz="6" w:space="0" w:color="CDD3DB"/>
          <w:left w:val="single" w:sz="6" w:space="0" w:color="CDD3DB"/>
          <w:bottom w:val="single" w:sz="6" w:space="0" w:color="CDD3DB"/>
          <w:right w:val="single" w:sz="6" w:space="0" w:color="CDD3DB"/>
          <w:insideH w:val="single" w:sz="6" w:space="0" w:color="CDD3DB"/>
          <w:insideV w:val="single" w:sz="6" w:space="0" w:color="CDD3DB"/>
        </w:tblBorders>
      </w:tblPr>
      <w:tblGrid>
        <w:gridCol w:w="2200"/>
        <w:gridCol w:w="7160"/>
      </w:tblGrid>
      <w:tr>
        <w:trPr>
          <w:tblHeader w:val="true"/>
        </w:trPr>
        <w:tc>
          <w:tcPr>
            <w:tcW w:type="dxa" w:w="220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Term</w:t>
            </w:r>
          </w:p>
        </w:tc>
        <w:tc>
          <w:tcPr>
            <w:tcW w:type="dxa" w:w="7160"/>
            <w:tcMar>
              <w:top w:w="80" w:type="dxa"/>
              <w:start w:w="120" w:type="dxa"/>
              <w:bottom w:w="80" w:type="dxa"/>
              <w:end w:w="120" w:type="dxa"/>
            </w:tcMar>
            <w:vAlign w:val="center"/>
            <w:shd w:fill="F2F4F7"/>
          </w:tcPr>
          <w:p>
            <w:pPr>
              <w:spacing w:after="0" w:line="252" w:lineRule="auto"/>
            </w:pPr>
            <w:r>
              <w:rPr>
                <w:rFonts w:ascii="Calibri" w:hAnsi="Calibri"/>
                <w:b/>
                <w:i w:val="0"/>
                <w:color w:val="0B2545"/>
                <w:sz w:val="17"/>
              </w:rPr>
              <w:t>Definition</w:t>
            </w:r>
          </w:p>
        </w:tc>
      </w:tr>
      <w:tr>
        <w:tc>
          <w:tcPr>
            <w:tcW w:type="dxa" w:w="2200"/>
          </w:tcPr>
          <w:p>
            <w:pPr>
              <w:spacing w:after="0" w:line="252" w:lineRule="auto"/>
            </w:pPr>
            <w:r>
              <w:rPr>
                <w:rFonts w:ascii="Calibri" w:hAnsi="Calibri"/>
                <w:b w:val="0"/>
                <w:i w:val="0"/>
                <w:color w:val="111111"/>
                <w:sz w:val="17"/>
              </w:rPr>
              <w:t>ARB</w:t>
            </w:r>
          </w:p>
        </w:tc>
        <w:tc>
          <w:tcPr>
            <w:tcW w:type="dxa" w:w="7160"/>
          </w:tcPr>
          <w:p>
            <w:pPr>
              <w:spacing w:after="0" w:line="252" w:lineRule="auto"/>
            </w:pPr>
            <w:r>
              <w:rPr>
                <w:rFonts w:ascii="Calibri" w:hAnsi="Calibri"/>
                <w:b w:val="0"/>
                <w:i w:val="0"/>
                <w:color w:val="111111"/>
                <w:sz w:val="17"/>
              </w:rPr>
              <w:t>Architecture Review Board</w:t>
            </w:r>
          </w:p>
        </w:tc>
      </w:tr>
      <w:tr>
        <w:tc>
          <w:tcPr>
            <w:tcW w:type="dxa" w:w="2200"/>
          </w:tcPr>
          <w:p>
            <w:pPr>
              <w:spacing w:after="0" w:line="252" w:lineRule="auto"/>
            </w:pPr>
            <w:r>
              <w:rPr>
                <w:rFonts w:ascii="Calibri" w:hAnsi="Calibri"/>
                <w:b w:val="0"/>
                <w:i w:val="0"/>
                <w:color w:val="111111"/>
                <w:sz w:val="17"/>
              </w:rPr>
              <w:t>EC</w:t>
            </w:r>
          </w:p>
        </w:tc>
        <w:tc>
          <w:tcPr>
            <w:tcW w:type="dxa" w:w="7160"/>
          </w:tcPr>
          <w:p>
            <w:pPr>
              <w:spacing w:after="0" w:line="252" w:lineRule="auto"/>
            </w:pPr>
            <w:r>
              <w:rPr>
                <w:rFonts w:ascii="Calibri" w:hAnsi="Calibri"/>
                <w:b w:val="0"/>
                <w:i w:val="0"/>
                <w:color w:val="111111"/>
                <w:sz w:val="17"/>
              </w:rPr>
              <w:t>Executive Committee</w:t>
            </w:r>
          </w:p>
        </w:tc>
      </w:tr>
      <w:tr>
        <w:tc>
          <w:tcPr>
            <w:tcW w:type="dxa" w:w="2200"/>
          </w:tcPr>
          <w:p>
            <w:pPr>
              <w:spacing w:after="0" w:line="252" w:lineRule="auto"/>
            </w:pPr>
            <w:r>
              <w:rPr>
                <w:rFonts w:ascii="Calibri" w:hAnsi="Calibri"/>
                <w:b w:val="0"/>
                <w:i w:val="0"/>
                <w:color w:val="111111"/>
                <w:sz w:val="17"/>
              </w:rPr>
              <w:t>PWA</w:t>
            </w:r>
          </w:p>
        </w:tc>
        <w:tc>
          <w:tcPr>
            <w:tcW w:type="dxa" w:w="7160"/>
          </w:tcPr>
          <w:p>
            <w:pPr>
              <w:spacing w:after="0" w:line="252" w:lineRule="auto"/>
            </w:pPr>
            <w:r>
              <w:rPr>
                <w:rFonts w:ascii="Calibri" w:hAnsi="Calibri"/>
                <w:b w:val="0"/>
                <w:i w:val="0"/>
                <w:color w:val="111111"/>
                <w:sz w:val="17"/>
              </w:rPr>
              <w:t>Progressive Web Application</w:t>
            </w:r>
          </w:p>
        </w:tc>
      </w:tr>
      <w:tr>
        <w:tc>
          <w:tcPr>
            <w:tcW w:type="dxa" w:w="2200"/>
          </w:tcPr>
          <w:p>
            <w:pPr>
              <w:spacing w:after="0" w:line="252" w:lineRule="auto"/>
            </w:pPr>
            <w:r>
              <w:rPr>
                <w:rFonts w:ascii="Calibri" w:hAnsi="Calibri"/>
                <w:b w:val="0"/>
                <w:i w:val="0"/>
                <w:color w:val="111111"/>
                <w:sz w:val="17"/>
              </w:rPr>
              <w:t>SOR</w:t>
            </w:r>
          </w:p>
        </w:tc>
        <w:tc>
          <w:tcPr>
            <w:tcW w:type="dxa" w:w="7160"/>
          </w:tcPr>
          <w:p>
            <w:pPr>
              <w:spacing w:after="0" w:line="252" w:lineRule="auto"/>
            </w:pPr>
            <w:r>
              <w:rPr>
                <w:rFonts w:ascii="Calibri" w:hAnsi="Calibri"/>
                <w:b w:val="0"/>
                <w:i w:val="0"/>
                <w:color w:val="111111"/>
                <w:sz w:val="17"/>
              </w:rPr>
              <w:t>Sum of roster ranks for the two players on a doubles line</w:t>
            </w:r>
          </w:p>
        </w:tc>
      </w:tr>
      <w:tr>
        <w:tc>
          <w:tcPr>
            <w:tcW w:type="dxa" w:w="2200"/>
          </w:tcPr>
          <w:p>
            <w:pPr>
              <w:spacing w:after="0" w:line="252" w:lineRule="auto"/>
            </w:pPr>
            <w:r>
              <w:rPr>
                <w:rFonts w:ascii="Calibri" w:hAnsi="Calibri"/>
                <w:b w:val="0"/>
                <w:i w:val="0"/>
                <w:color w:val="111111"/>
                <w:sz w:val="17"/>
              </w:rPr>
              <w:t>Spark</w:t>
            </w:r>
          </w:p>
        </w:tc>
        <w:tc>
          <w:tcPr>
            <w:tcW w:type="dxa" w:w="7160"/>
          </w:tcPr>
          <w:p>
            <w:pPr>
              <w:spacing w:after="0" w:line="252" w:lineRule="auto"/>
            </w:pPr>
            <w:r>
              <w:rPr>
                <w:rFonts w:ascii="Calibri" w:hAnsi="Calibri"/>
                <w:b w:val="0"/>
                <w:i w:val="0"/>
                <w:color w:val="111111"/>
                <w:sz w:val="17"/>
              </w:rPr>
              <w:t>Firebase no-cost plan used by the current deployment</w:t>
            </w:r>
          </w:p>
        </w:tc>
      </w:tr>
      <w:tr>
        <w:tc>
          <w:tcPr>
            <w:tcW w:type="dxa" w:w="2200"/>
          </w:tcPr>
          <w:p>
            <w:pPr>
              <w:spacing w:after="0" w:line="252" w:lineRule="auto"/>
            </w:pPr>
            <w:r>
              <w:rPr>
                <w:rFonts w:ascii="Calibri" w:hAnsi="Calibri"/>
                <w:b w:val="0"/>
                <w:i w:val="0"/>
                <w:color w:val="111111"/>
                <w:sz w:val="17"/>
              </w:rPr>
              <w:t>Blaze</w:t>
            </w:r>
          </w:p>
        </w:tc>
        <w:tc>
          <w:tcPr>
            <w:tcW w:type="dxa" w:w="7160"/>
          </w:tcPr>
          <w:p>
            <w:pPr>
              <w:spacing w:after="0" w:line="252" w:lineRule="auto"/>
            </w:pPr>
            <w:r>
              <w:rPr>
                <w:rFonts w:ascii="Calibri" w:hAnsi="Calibri"/>
                <w:b w:val="0"/>
                <w:i w:val="0"/>
                <w:color w:val="111111"/>
                <w:sz w:val="17"/>
              </w:rPr>
              <w:t>Firebase pay-as-you-go plan required for the planned Cloud Functions tier</w:t>
            </w:r>
          </w:p>
        </w:tc>
      </w:tr>
      <w:tr>
        <w:tc>
          <w:tcPr>
            <w:tcW w:type="dxa" w:w="2200"/>
          </w:tcPr>
          <w:p>
            <w:pPr>
              <w:spacing w:after="0" w:line="252" w:lineRule="auto"/>
            </w:pPr>
            <w:r>
              <w:rPr>
                <w:rFonts w:ascii="Calibri" w:hAnsi="Calibri"/>
                <w:b w:val="0"/>
                <w:i w:val="0"/>
                <w:color w:val="111111"/>
                <w:sz w:val="17"/>
              </w:rPr>
              <w:t>Current lineup</w:t>
            </w:r>
          </w:p>
        </w:tc>
        <w:tc>
          <w:tcPr>
            <w:tcW w:type="dxa" w:w="7160"/>
          </w:tcPr>
          <w:p>
            <w:pPr>
              <w:spacing w:after="0" w:line="252" w:lineRule="auto"/>
            </w:pPr>
            <w:r>
              <w:rPr>
                <w:rFonts w:ascii="Calibri" w:hAnsi="Calibri"/>
                <w:b w:val="0"/>
                <w:i w:val="0"/>
                <w:color w:val="111111"/>
                <w:sz w:val="17"/>
              </w:rPr>
              <w:t>Mutable pointer/document representing the latest team revision and state</w:t>
            </w:r>
          </w:p>
        </w:tc>
      </w:tr>
      <w:tr>
        <w:tc>
          <w:tcPr>
            <w:tcW w:type="dxa" w:w="2200"/>
          </w:tcPr>
          <w:p>
            <w:pPr>
              <w:spacing w:after="0" w:line="252" w:lineRule="auto"/>
            </w:pPr>
            <w:r>
              <w:rPr>
                <w:rFonts w:ascii="Calibri" w:hAnsi="Calibri"/>
                <w:b w:val="0"/>
                <w:i w:val="0"/>
                <w:color w:val="111111"/>
                <w:sz w:val="17"/>
              </w:rPr>
              <w:t>Revision</w:t>
            </w:r>
          </w:p>
        </w:tc>
        <w:tc>
          <w:tcPr>
            <w:tcW w:type="dxa" w:w="7160"/>
          </w:tcPr>
          <w:p>
            <w:pPr>
              <w:spacing w:after="0" w:line="252" w:lineRule="auto"/>
            </w:pPr>
            <w:r>
              <w:rPr>
                <w:rFonts w:ascii="Calibri" w:hAnsi="Calibri"/>
                <w:b w:val="0"/>
                <w:i w:val="0"/>
                <w:color w:val="111111"/>
                <w:sz w:val="17"/>
              </w:rPr>
              <w:t>Immutable copy of a submitted lineup</w:t>
            </w:r>
          </w:p>
        </w:tc>
      </w:tr>
      <w:tr>
        <w:tc>
          <w:tcPr>
            <w:tcW w:type="dxa" w:w="2200"/>
          </w:tcPr>
          <w:p>
            <w:pPr>
              <w:spacing w:after="0" w:line="252" w:lineRule="auto"/>
            </w:pPr>
            <w:r>
              <w:rPr>
                <w:rFonts w:ascii="Calibri" w:hAnsi="Calibri"/>
                <w:b w:val="0"/>
                <w:i w:val="0"/>
                <w:color w:val="111111"/>
                <w:sz w:val="17"/>
              </w:rPr>
              <w:t>Line match</w:t>
            </w:r>
          </w:p>
        </w:tc>
        <w:tc>
          <w:tcPr>
            <w:tcW w:type="dxa" w:w="7160"/>
          </w:tcPr>
          <w:p>
            <w:pPr>
              <w:spacing w:after="0" w:line="252" w:lineRule="auto"/>
            </w:pPr>
            <w:r>
              <w:rPr>
                <w:rFonts w:ascii="Calibri" w:hAnsi="Calibri"/>
                <w:b w:val="0"/>
                <w:i w:val="0"/>
                <w:color w:val="111111"/>
                <w:sz w:val="17"/>
              </w:rPr>
              <w:t>One of five doubles matches within a team matchup</w:t>
            </w:r>
          </w:p>
        </w:tc>
      </w:tr>
      <w:tr>
        <w:tc>
          <w:tcPr>
            <w:tcW w:type="dxa" w:w="2200"/>
          </w:tcPr>
          <w:p>
            <w:pPr>
              <w:spacing w:after="0" w:line="252" w:lineRule="auto"/>
            </w:pPr>
            <w:r>
              <w:rPr>
                <w:rFonts w:ascii="Calibri" w:hAnsi="Calibri"/>
                <w:b w:val="0"/>
                <w:i w:val="0"/>
                <w:color w:val="111111"/>
                <w:sz w:val="17"/>
              </w:rPr>
              <w:t>Public projection</w:t>
            </w:r>
          </w:p>
        </w:tc>
        <w:tc>
          <w:tcPr>
            <w:tcW w:type="dxa" w:w="7160"/>
          </w:tcPr>
          <w:p>
            <w:pPr>
              <w:spacing w:after="0" w:line="252" w:lineRule="auto"/>
            </w:pPr>
            <w:r>
              <w:rPr>
                <w:rFonts w:ascii="Calibri" w:hAnsi="Calibri"/>
                <w:b w:val="0"/>
                <w:i w:val="0"/>
                <w:color w:val="111111"/>
                <w:sz w:val="17"/>
              </w:rPr>
              <w:t>Guest-safe derived document set published from operational data</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7"/>
      </w:rPr>
      <w:t xml:space="preserve">Architecture Detailed Design | July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7"/>
      </w:rPr>
      <w:t>ALPHAOPEN | ARCHITECTURE REVIEW 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spacing w:after="120" w:line="280" w:lineRule="auto"/>
      <w:ind w:left="1080" w:hanging="3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AlphaOpen Architecture Review Board Detailed Design</dc:title>
  <dc:subject>Application design, schemas, security, workflows, deployment, risks, and future-state architecture</dc:subject>
  <dc:creator>AlphaOpen Architecture</dc:creator>
  <cp:keywords>AlphaOpen, Firebase, Firestore, PWA, Architecture Review Board, lineup approval</cp:keywords>
  <dc:description>Generated from the deployed application architecture and repository design artifacts.</dc:description>
  <cp:lastModifiedBy/>
  <cp:revision>1</cp:revision>
  <dcterms:created xsi:type="dcterms:W3CDTF">2013-12-23T23:15:00Z</dcterms:created>
  <dcterms:modified xsi:type="dcterms:W3CDTF">2013-12-23T23:15:00Z</dcterms:modified>
  <cp:category/>
</cp:coreProperties>
</file>