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246AD" w:rsidRDefault="00354D51" w:rsidP="00AB34C5">
      <w:pPr>
        <w:pStyle w:val="BATitle"/>
        <w:jc w:val="left"/>
      </w:pPr>
      <w:r>
        <w:t>Interaction of CO with Poly-crystalline Gold</w:t>
      </w:r>
    </w:p>
    <w:p w:rsidR="009246AD" w:rsidRPr="00933212" w:rsidRDefault="009246AD" w:rsidP="00AB34C5">
      <w:pPr>
        <w:pStyle w:val="BBAuthorName"/>
        <w:jc w:val="left"/>
      </w:pPr>
      <w:r w:rsidRPr="00933212">
        <w:t>AUTHOR NAMES</w:t>
      </w:r>
      <w:r w:rsidR="00A55B5D" w:rsidRPr="00933212">
        <w:t xml:space="preserve"> (alphabetical order)</w:t>
      </w:r>
      <w:r w:rsidRPr="00933212">
        <w:t xml:space="preserve"> </w:t>
      </w:r>
      <w:r w:rsidR="00F454DF" w:rsidRPr="00933212">
        <w:rPr>
          <w:noProof/>
          <w:lang w:eastAsia="en-GB"/>
        </w:rPr>
        <w:t>Karen Chan, Ib Chorkendorff</w:t>
      </w:r>
      <w:r w:rsidR="00F454DF" w:rsidRPr="00933212">
        <w:rPr>
          <w:noProof/>
          <w:vertAlign w:val="superscript"/>
          <w:lang w:eastAsia="en-GB"/>
        </w:rPr>
        <w:t xml:space="preserve"> </w:t>
      </w:r>
      <w:r w:rsidR="00F454DF" w:rsidRPr="00933212">
        <w:rPr>
          <w:noProof/>
          <w:lang w:eastAsia="en-GB"/>
        </w:rPr>
        <w:t xml:space="preserve">, Johan Ehlers, Henrik </w:t>
      </w:r>
      <w:r w:rsidR="009301FB" w:rsidRPr="00933212">
        <w:rPr>
          <w:noProof/>
          <w:lang w:eastAsia="en-GB"/>
        </w:rPr>
        <w:t xml:space="preserve">H. </w:t>
      </w:r>
      <w:r w:rsidR="00F454DF" w:rsidRPr="00933212">
        <w:rPr>
          <w:noProof/>
          <w:lang w:eastAsia="en-GB"/>
        </w:rPr>
        <w:t>Kristoffersen,</w:t>
      </w:r>
      <w:r w:rsidR="00191EF8" w:rsidRPr="00933212">
        <w:rPr>
          <w:noProof/>
          <w:lang w:eastAsia="en-GB"/>
        </w:rPr>
        <w:t xml:space="preserve"> Jens K. Nørskov,</w:t>
      </w:r>
      <w:r w:rsidR="00F454DF" w:rsidRPr="00933212">
        <w:rPr>
          <w:noProof/>
          <w:lang w:eastAsia="en-GB"/>
        </w:rPr>
        <w:t xml:space="preserve"> Brian Seger</w:t>
      </w:r>
      <w:r w:rsidR="00F454DF" w:rsidRPr="00933212">
        <w:rPr>
          <w:noProof/>
          <w:vertAlign w:val="superscript"/>
          <w:lang w:eastAsia="en-GB"/>
        </w:rPr>
        <w:t xml:space="preserve"> </w:t>
      </w:r>
      <w:r w:rsidR="00F454DF" w:rsidRPr="00933212">
        <w:t>,</w:t>
      </w:r>
      <w:r w:rsidR="00F454DF" w:rsidRPr="00933212">
        <w:rPr>
          <w:noProof/>
          <w:lang w:eastAsia="en-GB"/>
        </w:rPr>
        <w:t xml:space="preserve"> Thomas V. Hogg, Sudarshan Vijay</w:t>
      </w:r>
    </w:p>
    <w:p w:rsidR="009246AD" w:rsidRDefault="009246AD" w:rsidP="00AB34C5">
      <w:pPr>
        <w:pStyle w:val="BCAuthorAddress"/>
        <w:jc w:val="left"/>
      </w:pPr>
      <w:r>
        <w:t>AUTHOR ADDRESS</w:t>
      </w:r>
      <w:r>
        <w:rPr>
          <w:b/>
        </w:rPr>
        <w:t xml:space="preserve"> </w:t>
      </w:r>
      <w:r w:rsidR="00AD0B02">
        <w:rPr>
          <w:b/>
        </w:rPr>
        <w:t>Department of Physics, Technical University of Denmark, 2800 Kgs. Lyngby, Denmark</w:t>
      </w:r>
    </w:p>
    <w:p w:rsidR="00AB34C5" w:rsidRDefault="000C05CC" w:rsidP="00A764EF">
      <w:pPr>
        <w:pStyle w:val="FACorrespondingAuthorFootnote"/>
        <w:spacing w:after="0"/>
        <w:jc w:val="left"/>
      </w:pPr>
      <w:r>
        <w:t>AUTHOR INFORMATION</w:t>
      </w:r>
    </w:p>
    <w:p w:rsidR="000C05CC" w:rsidRPr="00DD6DBB" w:rsidRDefault="000C05CC" w:rsidP="004E7185">
      <w:pPr>
        <w:pStyle w:val="FAAuthorInfoSubtitle"/>
      </w:pPr>
      <w:r w:rsidRPr="00DD6DBB">
        <w:t>Corresponding Author</w:t>
      </w:r>
    </w:p>
    <w:p w:rsidR="000C05CC" w:rsidRDefault="00AB34C5" w:rsidP="006455A5">
      <w:pPr>
        <w:pStyle w:val="BDAbstract"/>
        <w:rPr>
          <w:b/>
        </w:rPr>
      </w:pPr>
      <w:r>
        <w:t xml:space="preserve">ABSTRACT </w:t>
      </w:r>
      <w:r w:rsidR="009F2E7E">
        <w:br/>
      </w:r>
      <w:r w:rsidR="000C05CC">
        <w:br/>
      </w:r>
      <w:r w:rsidR="000C05CC" w:rsidRPr="00916756">
        <w:rPr>
          <w:b/>
        </w:rPr>
        <w:t>TOC GRAPHICS</w:t>
      </w:r>
    </w:p>
    <w:p w:rsidR="000C05CC" w:rsidRPr="00DA58E8" w:rsidRDefault="000C05CC" w:rsidP="000C05CC">
      <w:pPr>
        <w:pStyle w:val="BGKeywords"/>
        <w:spacing w:after="240"/>
        <w:jc w:val="left"/>
      </w:pPr>
    </w:p>
    <w:p w:rsidR="00AB34C5" w:rsidRDefault="000C05CC" w:rsidP="000702AD">
      <w:pPr>
        <w:pStyle w:val="BGKeywords"/>
      </w:pPr>
      <w:r w:rsidRPr="000702AD">
        <w:rPr>
          <w:b/>
          <w:bCs/>
        </w:rPr>
        <w:t>KEYWORDS</w:t>
      </w:r>
      <w:r w:rsidR="006629CE">
        <w:rPr>
          <w:b/>
          <w:bCs/>
        </w:rPr>
        <w:t xml:space="preserve"> </w:t>
      </w:r>
    </w:p>
    <w:p w:rsidR="000566B8" w:rsidRDefault="000566B8" w:rsidP="000B5610">
      <w:pPr>
        <w:pStyle w:val="SNSynopsisTOC"/>
        <w:spacing w:after="240"/>
        <w:jc w:val="left"/>
      </w:pPr>
      <w:r>
        <w:br w:type="page"/>
      </w:r>
    </w:p>
    <w:p w:rsidR="005B7DC7" w:rsidRDefault="005B7DC7" w:rsidP="000B5610">
      <w:pPr>
        <w:pStyle w:val="SNSynopsisTOC"/>
        <w:spacing w:after="240"/>
        <w:jc w:val="left"/>
        <w:rPr>
          <w:color w:val="000000" w:themeColor="text1"/>
        </w:rPr>
      </w:pPr>
      <w:r>
        <w:rPr>
          <w:color w:val="000000" w:themeColor="text1"/>
        </w:rPr>
        <w:lastRenderedPageBreak/>
        <w:t xml:space="preserve">Gold </w:t>
      </w:r>
      <w:r w:rsidR="001157B5">
        <w:rPr>
          <w:color w:val="000000" w:themeColor="text1"/>
        </w:rPr>
        <w:t xml:space="preserve">is </w:t>
      </w:r>
      <w:r w:rsidR="00CE56F1">
        <w:rPr>
          <w:color w:val="000000" w:themeColor="text1"/>
        </w:rPr>
        <w:t xml:space="preserve">often considered a noble metal, incapable of binding </w:t>
      </w:r>
      <w:r w:rsidR="00747D43">
        <w:rPr>
          <w:color w:val="000000" w:themeColor="text1"/>
        </w:rPr>
        <w:t>small organic molecules</w:t>
      </w:r>
      <w:r w:rsidR="00915D4F">
        <w:rPr>
          <w:color w:val="000000" w:themeColor="text1"/>
        </w:rPr>
        <w:t xml:space="preserve"> strongly. </w:t>
      </w:r>
      <w:r w:rsidR="00DD6A72">
        <w:rPr>
          <w:color w:val="000000" w:themeColor="text1"/>
        </w:rPr>
        <w:t>At the same time, it is know</w:t>
      </w:r>
      <w:r w:rsidR="00FE1302">
        <w:rPr>
          <w:color w:val="000000" w:themeColor="text1"/>
        </w:rPr>
        <w:t>n</w:t>
      </w:r>
      <w:r w:rsidR="00DD6A72">
        <w:rPr>
          <w:color w:val="000000" w:themeColor="text1"/>
        </w:rPr>
        <w:t xml:space="preserve"> to be </w:t>
      </w:r>
      <w:r w:rsidR="001157B5">
        <w:rPr>
          <w:color w:val="000000" w:themeColor="text1"/>
        </w:rPr>
        <w:t xml:space="preserve">a versatile material that is capable of </w:t>
      </w:r>
      <w:r w:rsidR="00DD6A72">
        <w:rPr>
          <w:color w:val="000000" w:themeColor="text1"/>
        </w:rPr>
        <w:t xml:space="preserve">catalyzing </w:t>
      </w:r>
      <w:r w:rsidR="001157B5">
        <w:rPr>
          <w:color w:val="000000" w:themeColor="text1"/>
        </w:rPr>
        <w:t>several reaction</w:t>
      </w:r>
      <w:r w:rsidR="00DD6A72">
        <w:rPr>
          <w:color w:val="000000" w:themeColor="text1"/>
        </w:rPr>
        <w:t xml:space="preserve">s. </w:t>
      </w:r>
      <w:r w:rsidR="001157B5">
        <w:rPr>
          <w:color w:val="000000" w:themeColor="text1"/>
        </w:rPr>
        <w:t xml:space="preserve"> </w:t>
      </w:r>
      <w:r w:rsidR="00DD6A72">
        <w:rPr>
          <w:color w:val="000000" w:themeColor="text1"/>
        </w:rPr>
        <w:t>In the gas phase, gold nanoparticles catalyze CO-oxidation</w:t>
      </w:r>
      <w:r w:rsidR="00915D4F">
        <w:rPr>
          <w:color w:val="000000" w:themeColor="text1"/>
        </w:rPr>
        <w:fldChar w:fldCharType="begin" w:fldLock="1"/>
      </w:r>
      <w:r w:rsidR="00915D4F">
        <w:rPr>
          <w:color w:val="000000" w:themeColor="text1"/>
        </w:rPr>
        <w:instrText>ADDIN CSL_CITATION {"citationItems":[{"id":"ITEM-1","itemData":{"DOI":"10.1016/j.jcat.2004.01.001","ISSN":"00219517","abstract":"It is suggested that there may be several effects contributing to the special catalytic properties of supported nanosized gold particles, and that it is useful to order them in a hierarchy. The most important effect is related to the availability of many low-coordinated gold atoms on the small particles. Effects related to the interaction with the support may also contribute, but to a considerably smaller extent. We base the analysis on a new set of experimental results comparing the CO oxidation rates over gold supported on different reducible and nonreducible oxides, on an analysis of a large number of published activity data, and on an analysis of density-functional calculations of the effect of metal coordination numbers in comparison to the role of charge transfer, layer thickness, and interactions with the support. © 2004 Elsevier Inc. All rights reserved.","author":[{"dropping-particle":"","family":"Lopez","given":"N","non-dropping-particle":"","parse-names":false,"suffix":""},{"dropping-particle":"","family":"Janssens","given":"T. V.W.","non-dropping-particle":"","parse-names":false,"suffix":""},{"dropping-particle":"","family":"Clausen","given":"B S","non-dropping-particle":"","parse-names":false,"suffix":""},{"dropping-particle":"","family":"Xu","given":"Y","non-dropping-particle":"","parse-names":false,"suffix":""},{"dropping-particle":"","family":"Mavrikakis","given":"M","non-dropping-particle":"","parse-names":false,"suffix":""},{"dropping-particle":"","family":"Bligaard","given":"T","non-dropping-particle":"","parse-names":false,"suffix":""},{"dropping-particle":"","family":"Nørskov","given":"J K","non-dropping-particle":"","parse-names":false,"suffix":""}],"container-title":"Journal of Catalysis","id":"ITEM-1","issue":"1","issued":{"date-parts":[["2004"]]},"page":"232-235","title":"On the origin of the catalytic activity of gold nanoparticles for low-temperature CO oxidation","type":"article-journal","volume":"223"},"uris":["http://www.mendeley.com/documents/?uuid=3324e2eb-6b86-3766-9895-83b363f08e68"]}],"mendeley":{"formattedCitation":"&lt;sup&gt;1&lt;/sup&gt;","plainTextFormattedCitation":"1","previouslyFormattedCitation":"&lt;sup&gt;1&lt;/sup&gt;"},"properties":{"noteIndex":0},"schema":"https://github.com/citation-style-language/schema/raw/master/csl-citation.json"}</w:instrText>
      </w:r>
      <w:r w:rsidR="00915D4F">
        <w:rPr>
          <w:color w:val="000000" w:themeColor="text1"/>
        </w:rPr>
        <w:fldChar w:fldCharType="separate"/>
      </w:r>
      <w:r w:rsidR="00915D4F" w:rsidRPr="00915D4F">
        <w:rPr>
          <w:noProof/>
          <w:color w:val="000000" w:themeColor="text1"/>
          <w:vertAlign w:val="superscript"/>
        </w:rPr>
        <w:t>1</w:t>
      </w:r>
      <w:r w:rsidR="00915D4F">
        <w:rPr>
          <w:color w:val="000000" w:themeColor="text1"/>
        </w:rPr>
        <w:fldChar w:fldCharType="end"/>
      </w:r>
      <w:r w:rsidR="00DD6A72">
        <w:rPr>
          <w:color w:val="000000" w:themeColor="text1"/>
        </w:rPr>
        <w:t xml:space="preserve">. </w:t>
      </w:r>
      <w:r w:rsidR="00A30006">
        <w:rPr>
          <w:color w:val="000000" w:themeColor="text1"/>
        </w:rPr>
        <w:t>In an electrochemical environment, gold is capabl</w:t>
      </w:r>
      <w:r w:rsidR="009B3FF9">
        <w:rPr>
          <w:color w:val="000000" w:themeColor="text1"/>
        </w:rPr>
        <w:t xml:space="preserve">e of carrying out CO electro-oxidation at </w:t>
      </w:r>
      <w:r w:rsidR="00C076B3">
        <w:rPr>
          <w:color w:val="000000" w:themeColor="text1"/>
        </w:rPr>
        <w:t>anodic</w:t>
      </w:r>
      <w:r w:rsidR="009B3FF9">
        <w:rPr>
          <w:color w:val="000000" w:themeColor="text1"/>
        </w:rPr>
        <w:t xml:space="preserve"> </w:t>
      </w:r>
      <w:r w:rsidR="00C076B3">
        <w:rPr>
          <w:color w:val="000000" w:themeColor="text1"/>
        </w:rPr>
        <w:t>potentials</w:t>
      </w:r>
      <w:r w:rsidR="00915D4F">
        <w:rPr>
          <w:color w:val="000000" w:themeColor="text1"/>
        </w:rPr>
        <w:fldChar w:fldCharType="begin" w:fldLock="1"/>
      </w:r>
      <w:r w:rsidR="00915D4F">
        <w:rPr>
          <w:color w:val="000000" w:themeColor="text1"/>
        </w:rPr>
        <w:instrText>ADDIN CSL_CITATION {"citationItems":[{"id":"ITEM-1","itemData":{"DOI":"10.1039/c4cp00394b","ISSN":"14639076","abstract":"This perspective article reviews recent advances in the study of important catalytic reactions on gold electrodes. The paper discusses both oxidation and reduction reactions: the oxidation of carbon monoxide and alcohols as well as the oxygen reduction reaction on gold electrodes and also a brief discussion of other interesting reactions on gold electrodes such as the amine borane oxidation and the CO2 reduction. A common theme in electrocatalysis on gold is the sensitive dependence of various reaction rates on pH and gold surface structure. The electrocatalysis of redox reactions on gold is highly pH dependent, often preferring alkaline media, due to the prominent role of negatively charged reaction intermediates related to the fact that gold does not bind the neutral intermediates strongly enough. Gold also tends to be a selective catalyst, again due to its weak adsorption properties, as on gold the reaction often stops when a difficult bond breaking or making event will be the necessary next step. This journal is © the Partner Organisations 2014.","author":[{"dropping-particle":"","family":"Rodriguez","given":"Paramaconi","non-dropping-particle":"","parse-names":false,"suffix":""},{"dropping-particle":"","family":"Koper","given":"Marc T.M.","non-dropping-particle":"","parse-names":false,"suffix":""}],"container-title":"Physical Chemistry Chemical Physics","id":"ITEM-1","issue":"27","issued":{"date-parts":[["2014"]]},"page":"13583-13594","title":"Electrocatalysis on gold","type":"article","volume":"16"},"uris":["http://www.mendeley.com/documents/?uuid=f75f7702-4f95-3c71-984b-b3ae5310642d"]}],"mendeley":{"formattedCitation":"&lt;sup&gt;2&lt;/sup&gt;","plainTextFormattedCitation":"2","previouslyFormattedCitation":"&lt;sup&gt;2&lt;/sup&gt;"},"properties":{"noteIndex":0},"schema":"https://github.com/citation-style-language/schema/raw/master/csl-citation.json"}</w:instrText>
      </w:r>
      <w:r w:rsidR="00915D4F">
        <w:rPr>
          <w:color w:val="000000" w:themeColor="text1"/>
        </w:rPr>
        <w:fldChar w:fldCharType="separate"/>
      </w:r>
      <w:r w:rsidR="00915D4F" w:rsidRPr="00915D4F">
        <w:rPr>
          <w:noProof/>
          <w:color w:val="000000" w:themeColor="text1"/>
          <w:vertAlign w:val="superscript"/>
        </w:rPr>
        <w:t>2</w:t>
      </w:r>
      <w:r w:rsidR="00915D4F">
        <w:rPr>
          <w:color w:val="000000" w:themeColor="text1"/>
        </w:rPr>
        <w:fldChar w:fldCharType="end"/>
      </w:r>
      <w:r w:rsidR="009B3FF9">
        <w:rPr>
          <w:color w:val="000000" w:themeColor="text1"/>
        </w:rPr>
        <w:t xml:space="preserve"> and CO2 reduction</w:t>
      </w:r>
      <w:r w:rsidR="00393921">
        <w:rPr>
          <w:color w:val="000000" w:themeColor="text1"/>
        </w:rPr>
        <w:t xml:space="preserve"> (CO2R)</w:t>
      </w:r>
      <w:r w:rsidR="009B3FF9">
        <w:rPr>
          <w:color w:val="000000" w:themeColor="text1"/>
        </w:rPr>
        <w:t xml:space="preserve"> to CO at </w:t>
      </w:r>
      <w:r w:rsidR="00C076B3">
        <w:rPr>
          <w:color w:val="000000" w:themeColor="text1"/>
        </w:rPr>
        <w:t>cathodic</w:t>
      </w:r>
      <w:r w:rsidR="009B3FF9">
        <w:rPr>
          <w:color w:val="000000" w:themeColor="text1"/>
        </w:rPr>
        <w:t xml:space="preserve"> </w:t>
      </w:r>
      <w:r w:rsidR="00C076B3">
        <w:rPr>
          <w:color w:val="000000" w:themeColor="text1"/>
        </w:rPr>
        <w:t>potentials</w:t>
      </w:r>
      <w:r w:rsidR="00915D4F">
        <w:rPr>
          <w:color w:val="000000" w:themeColor="text1"/>
        </w:rPr>
        <w:fldChar w:fldCharType="begin" w:fldLock="1"/>
      </w:r>
      <w:r w:rsidR="006E3330">
        <w:rPr>
          <w:color w:val="000000" w:themeColor="text1"/>
        </w:rPr>
        <w:instrText>ADDIN CSL_CITATION {"citationItems":[{"id":"ITEM-1","itemData":{"DOI":"10.1021/ja309317u","ISSN":"00027863","PMID":"23171134","abstract":"Carbon dioxide reduction is an essential component of many prospective technologies for the renewable synthesis of carbon-containing fuels. Known catalysts for this reaction generally suffer from low energetic efficiency, poor product selectivity, and rapid deactivation. We show that the reduction of thick Au oxide films results in the formation of Au nanoparticles (\"oxide-derived Aua\") that exhibit highly selective CO2 reduction to CO in water at overpotentials as low as 140 mV and retain their activity for at least 8 h. Under identical conditions, polycrystalline Au electrodes and several other nanostructured Au electrodes prepared via alternative methods require at least 200 mV of additional overpotential to attain comparable CO2 reduction activity and rapidly lose their activity. Electrokinetic studies indicate that the improved catalysis is linked to dramatically increased stabilization of the CO2•- intermediate on the surfaces of the oxide-derived Au electrodes. © 2012 American Chemical Society.","author":[{"dropping-particle":"","family":"Chen","given":"Yihong","non-dropping-particle":"","parse-names":false,"suffix":""},{"dropping-particle":"","family":"Li","given":"Christina W","non-dropping-particle":"","parse-names":false,"suffix":""},{"dropping-particle":"","family":"Kanan","given":"Matthew W","non-dropping-particle":"","parse-names":false,"suffix":""}],"container-title":"Journal of the American Chemical Society","id":"ITEM-1","issue":"49","issued":{"date-parts":[["2012"]]},"page":"19969-19972","publisher":"UTC","title":"Aqueous CO2 reduction at very low overpotential on oxide-derived au nanoparticles","type":"article-journal","volume":"134"},"uris":["http://www.mendeley.com/documents/?uuid=bab320f3-084c-3ee9-a934-0bf9b719283b"]}],"mendeley":{"formattedCitation":"&lt;sup&gt;3&lt;/sup&gt;","plainTextFormattedCitation":"3","previouslyFormattedCitation":"&lt;sup&gt;3&lt;/sup&gt;"},"properties":{"noteIndex":0},"schema":"https://github.com/citation-style-language/schema/raw/master/csl-citation.json"}</w:instrText>
      </w:r>
      <w:r w:rsidR="00915D4F">
        <w:rPr>
          <w:color w:val="000000" w:themeColor="text1"/>
        </w:rPr>
        <w:fldChar w:fldCharType="separate"/>
      </w:r>
      <w:r w:rsidR="00915D4F" w:rsidRPr="00915D4F">
        <w:rPr>
          <w:noProof/>
          <w:color w:val="000000" w:themeColor="text1"/>
          <w:vertAlign w:val="superscript"/>
        </w:rPr>
        <w:t>3</w:t>
      </w:r>
      <w:r w:rsidR="00915D4F">
        <w:rPr>
          <w:color w:val="000000" w:themeColor="text1"/>
        </w:rPr>
        <w:fldChar w:fldCharType="end"/>
      </w:r>
      <w:r w:rsidR="009B3FF9">
        <w:rPr>
          <w:color w:val="000000" w:themeColor="text1"/>
        </w:rPr>
        <w:t>.</w:t>
      </w:r>
      <w:r w:rsidR="00C076B3">
        <w:rPr>
          <w:color w:val="000000" w:themeColor="text1"/>
        </w:rPr>
        <w:t xml:space="preserve"> </w:t>
      </w:r>
      <w:r w:rsidR="00561A54">
        <w:rPr>
          <w:color w:val="000000" w:themeColor="text1"/>
        </w:rPr>
        <w:t>It’s 100 facet</w:t>
      </w:r>
      <w:r w:rsidR="000A6A5E">
        <w:rPr>
          <w:color w:val="000000" w:themeColor="text1"/>
        </w:rPr>
        <w:t xml:space="preserve"> has also shown to be active for the oxygen reduction reaction in alkaline media</w:t>
      </w:r>
      <w:r w:rsidR="006E3330">
        <w:rPr>
          <w:color w:val="000000" w:themeColor="text1"/>
        </w:rPr>
        <w:fldChar w:fldCharType="begin" w:fldLock="1"/>
      </w:r>
      <w:r w:rsidR="006E3330">
        <w:rPr>
          <w:color w:val="000000" w:themeColor="text1"/>
        </w:rPr>
        <w:instrText>ADDIN CSL_CITATION {"citationItems":[{"id":"ITEM-1","itemData":{"abstract":"The reduction of oxygen and hydrogen peroxide on the Au(100) surface has been studied using classical electroanalytic methods combined with in situ X-ray scattering techniques in order to relate surface structure to the kinetics. Confirming previous results, the 4e~ reduction pathway for O2 at low overpotentials gives way to a 2e~ path at higher overpotentials. It was determined that, contrary to previous speculation, the (1X1)-» \"hex\" reconstruction transition is not the dominant mechanism for this change in reaction pathway since the transition in reduction kinetics occurs in a much narrower potential range than the (1X1)-* \"hex\" transition. The time constants for the two transitions differ by approximately 2 orders of magnitude, with the structural transition the slower. We suggest that the change in reaction pathway is related to the potential dependence of the adsorption of hydroxyl anions that catalyze the reduction of peroxide.","author":[{"dropping-particle":"","family":"Markovic","given":"N M","non-dropping-particle":"","parse-names":false,"suffix":""},{"dropping-particle":"","family":"Tidswell","given":"I M","non-dropping-particle":"","parse-names":false,"suffix":""},{"dropping-particle":"","family":"Ross","given":"P N","non-dropping-particle":"","parse-names":false,"suffix":""}],"container-title":"The ACS Journal of Surfaces and Colloids","id":"ITEM-1","issue":"1","issued":{"date-parts":[["1994"]]},"title":"Letters Oxygen and Hydrogen Peroxide Reduction on the Au(100) Surface in Alkaline Electrolyte: The Roles of Surface Structure and Hydroxide Adsorption","type":"report","volume":"10"},"uris":["http://www.mendeley.com/documents/?uuid=db0f4093-e425-3897-8ab1-84d7a2208867"]}],"mendeley":{"formattedCitation":"&lt;sup&gt;4&lt;/sup&gt;","plainTextFormattedCitation":"4","previouslyFormattedCitation":"&lt;sup&gt;4&lt;/sup&gt;"},"properties":{"noteIndex":0},"schema":"https://github.com/citation-style-language/schema/raw/master/csl-citation.json"}</w:instrText>
      </w:r>
      <w:r w:rsidR="006E3330">
        <w:rPr>
          <w:color w:val="000000" w:themeColor="text1"/>
        </w:rPr>
        <w:fldChar w:fldCharType="separate"/>
      </w:r>
      <w:r w:rsidR="006E3330" w:rsidRPr="006E3330">
        <w:rPr>
          <w:noProof/>
          <w:color w:val="000000" w:themeColor="text1"/>
          <w:vertAlign w:val="superscript"/>
        </w:rPr>
        <w:t>4</w:t>
      </w:r>
      <w:r w:rsidR="006E3330">
        <w:rPr>
          <w:color w:val="000000" w:themeColor="text1"/>
        </w:rPr>
        <w:fldChar w:fldCharType="end"/>
      </w:r>
      <w:r w:rsidR="000A6A5E">
        <w:rPr>
          <w:color w:val="000000" w:themeColor="text1"/>
        </w:rPr>
        <w:t xml:space="preserve">. </w:t>
      </w:r>
      <w:r w:rsidR="00561A54">
        <w:rPr>
          <w:color w:val="000000" w:themeColor="text1"/>
        </w:rPr>
        <w:t>Furthermore, reactions such as oxidation of alcohols have been studied</w:t>
      </w:r>
      <w:r w:rsidR="006E3330">
        <w:rPr>
          <w:color w:val="000000" w:themeColor="text1"/>
        </w:rPr>
        <w:fldChar w:fldCharType="begin" w:fldLock="1"/>
      </w:r>
      <w:r w:rsidR="009353D0">
        <w:rPr>
          <w:color w:val="000000" w:themeColor="text1"/>
        </w:rPr>
        <w:instrText>ADDIN CSL_CITATION {"citationItems":[{"id":"ITEM-1","itemData":{"DOI":"10.1021/ja200976j","ISSN":"00027863","abstract":"On the basis of a comparison of the oxidation activity of a series of similar alcohols with varying pK a on gold electrodes in alkaline solution, we find that the first deprotonation is base catalyzed, and the second deprotona-tion is fast but gold catalyzed. The base catalysis follows a Hammett-type correlation with pK a , and dominates overall reactivity for a series of similar alcohols. The high oxidation activity on gold compared to platinum for some of the alcohols is related to the high resistance of gold toward the formation of poisoning surface oxides. These results indicate that base catalysis is the main driver behind the high oxidation activity of many organic fuels on fuel cell anodes in alkaline media, and not the catalyst interaction with hydroxide.","author":[{"dropping-particle":"","family":"Kwon","given":"Youngkook","non-dropping-particle":"","parse-names":false,"suffix":""},{"dropping-particle":"","family":"Lai","given":"Stanley C.S.","non-dropping-particle":"","parse-names":false,"suffix":""},{"dropping-particle":"","family":"Rodriguez","given":"Paramaconi","non-dropping-particle":"","parse-names":false,"suffix":""},{"dropping-particle":"","family":"Koper","given":"Marc T.M.","non-dropping-particle":"","parse-names":false,"suffix":""}],"container-title":"Journal of the American Chemical Society","id":"ITEM-1","issue":"18","issued":{"date-parts":[["2011"]]},"page":"6914-6917","title":"Electrocatalytic oxidation of alcohols on gold in alkaline media: Base or gold catalysis?","type":"article-journal","volume":"133"},"uris":["http://www.mendeley.com/documents/?uuid=06c2617a-8a3e-359a-8a49-5a6c33b420b2"]}],"mendeley":{"formattedCitation":"&lt;sup&gt;5&lt;/sup&gt;","plainTextFormattedCitation":"5","previouslyFormattedCitation":"&lt;sup&gt;5&lt;/sup&gt;"},"properties":{"noteIndex":0},"schema":"https://github.com/citation-style-language/schema/raw/master/csl-citation.json"}</w:instrText>
      </w:r>
      <w:r w:rsidR="006E3330">
        <w:rPr>
          <w:color w:val="000000" w:themeColor="text1"/>
        </w:rPr>
        <w:fldChar w:fldCharType="separate"/>
      </w:r>
      <w:r w:rsidR="006E3330" w:rsidRPr="006E3330">
        <w:rPr>
          <w:noProof/>
          <w:color w:val="000000" w:themeColor="text1"/>
          <w:vertAlign w:val="superscript"/>
        </w:rPr>
        <w:t>5</w:t>
      </w:r>
      <w:r w:rsidR="006E3330">
        <w:rPr>
          <w:color w:val="000000" w:themeColor="text1"/>
        </w:rPr>
        <w:fldChar w:fldCharType="end"/>
      </w:r>
      <w:r w:rsidR="00561A54">
        <w:rPr>
          <w:color w:val="000000" w:themeColor="text1"/>
        </w:rPr>
        <w:t xml:space="preserve">. </w:t>
      </w:r>
      <w:r w:rsidR="00EF75E1">
        <w:rPr>
          <w:color w:val="000000" w:themeColor="text1"/>
        </w:rPr>
        <w:t xml:space="preserve">This dichotomous relationship between </w:t>
      </w:r>
      <w:r w:rsidR="007B1BEB">
        <w:rPr>
          <w:color w:val="000000" w:themeColor="text1"/>
        </w:rPr>
        <w:t>the binding strength of Gold and its catalytic ability points to a need for a fundamental analysis of theoretical and experimental methods used to calculate its properties.</w:t>
      </w:r>
      <w:r w:rsidR="00007689">
        <w:rPr>
          <w:color w:val="000000" w:themeColor="text1"/>
        </w:rPr>
        <w:t xml:space="preserve"> </w:t>
      </w:r>
    </w:p>
    <w:p w:rsidR="00003E06" w:rsidRDefault="00CB0424" w:rsidP="000B5610">
      <w:pPr>
        <w:pStyle w:val="SNSynopsisTOC"/>
        <w:spacing w:after="240"/>
        <w:jc w:val="left"/>
      </w:pPr>
      <w:r>
        <w:rPr>
          <w:color w:val="000000" w:themeColor="text1"/>
        </w:rPr>
        <w:t>In the context of energy storage, a</w:t>
      </w:r>
      <w:r w:rsidR="00007689">
        <w:rPr>
          <w:color w:val="000000" w:themeColor="text1"/>
        </w:rPr>
        <w:t xml:space="preserve"> particular</w:t>
      </w:r>
      <w:r>
        <w:rPr>
          <w:color w:val="000000" w:themeColor="text1"/>
        </w:rPr>
        <w:t xml:space="preserve">ly interesting </w:t>
      </w:r>
      <w:r w:rsidR="00007689">
        <w:rPr>
          <w:color w:val="000000" w:themeColor="text1"/>
        </w:rPr>
        <w:t xml:space="preserve">reaction that </w:t>
      </w:r>
      <w:r>
        <w:rPr>
          <w:color w:val="000000" w:themeColor="text1"/>
        </w:rPr>
        <w:t xml:space="preserve">Gold </w:t>
      </w:r>
      <w:r w:rsidR="00007689">
        <w:rPr>
          <w:color w:val="000000" w:themeColor="text1"/>
        </w:rPr>
        <w:t>catalyze</w:t>
      </w:r>
      <w:r w:rsidR="00CC21FC">
        <w:rPr>
          <w:color w:val="000000" w:themeColor="text1"/>
        </w:rPr>
        <w:t>s</w:t>
      </w:r>
      <w:r w:rsidR="00007689">
        <w:rPr>
          <w:color w:val="000000" w:themeColor="text1"/>
        </w:rPr>
        <w:t xml:space="preserve"> well is CO2R. D</w:t>
      </w:r>
      <w:r w:rsidR="009F4E62" w:rsidRPr="00431F9A">
        <w:rPr>
          <w:color w:val="000000" w:themeColor="text1"/>
        </w:rPr>
        <w:t>espite</w:t>
      </w:r>
      <w:r w:rsidR="00B631B7" w:rsidRPr="00431F9A">
        <w:rPr>
          <w:color w:val="000000" w:themeColor="text1"/>
        </w:rPr>
        <w:t xml:space="preserve"> being one of the only transition metals that </w:t>
      </w:r>
      <w:r w:rsidR="00007689">
        <w:rPr>
          <w:color w:val="000000" w:themeColor="text1"/>
        </w:rPr>
        <w:t>produces almost exclusively CO from CO2, little is known about its facet dependence</w:t>
      </w:r>
      <w:r w:rsidR="00B631B7" w:rsidRPr="00431F9A">
        <w:rPr>
          <w:color w:val="000000" w:themeColor="text1"/>
        </w:rPr>
        <w:t>.</w:t>
      </w:r>
      <w:r w:rsidR="00003E06" w:rsidRPr="00431F9A">
        <w:rPr>
          <w:color w:val="000000" w:themeColor="text1"/>
        </w:rPr>
        <w:t xml:space="preserve"> While it is clear that CO binds weakly to Gold</w:t>
      </w:r>
      <w:r w:rsidR="0070191E">
        <w:rPr>
          <w:color w:val="000000" w:themeColor="text1"/>
        </w:rPr>
        <w:fldChar w:fldCharType="begin" w:fldLock="1"/>
      </w:r>
      <w:r w:rsidR="009353D0">
        <w:rPr>
          <w:color w:val="000000" w:themeColor="text1"/>
        </w:rPr>
        <w:instrText>ADDIN CSL_CITATION {"citationItems":[{"id":"ITEM-1","itemData":{"DOI":"10.1038/376238a0","ISBN":"9780750682640","ISSN":"00280836","abstract":"The unique role that gold plays in society is to a large extent related to the fact that it is the most noble of all metals: it is the least reactive metal towards atoms or molecules at the interface with a gas or a liquid. The inertness of gold does not reflect a general inability to form chemical bonds, however-gold forms very stable alloys with many other metals. To understand the nobleness of gold, we have studied a simple surface reaction, the dissociation of H2 on the surface of gold and of three other metals (copper, nickel and platinum) that lie close to it in the periodic table. We present self-consistent density-functional calculations of the activation barriers and chemisorption energies which clearly illustrate that nobleness is related to two factors: the degree of filling of the antibonding states on adsorption, and the degree of orbital overlap with the adsorbate. These two factors, which determine both the strength of the adsorbate-metal interaction and the energy barrier for dissociation, operate together to the maxima] detriment of adsorbate binding and subsequent reactivity on gold. © 1995 Nature Publishing Groups. All Rights Reserved.","author":[{"dropping-particle":"","family":"Hammer","given":"B.","non-dropping-particle":"","parse-names":false,"suffix":""},{"dropping-particle":"","family":"Norskov","given":"J. K.","non-dropping-particle":"","parse-names":false,"suffix":""}],"container-title":"Nature","id":"ITEM-1","issue":"6537","issued":{"date-parts":[["1995"]]},"page":"238-240","title":"Why gold is the noblest of all the metals","type":"article-journal","volume":"376"},"uris":["http://www.mendeley.com/documents/?uuid=7a9258f5-198d-39fe-9839-671204a3d314"]}],"mendeley":{"formattedCitation":"&lt;sup&gt;6&lt;/sup&gt;","plainTextFormattedCitation":"6","previouslyFormattedCitation":"&lt;sup&gt;6&lt;/sup&gt;"},"properties":{"noteIndex":0},"schema":"https://github.com/citation-style-language/schema/raw/master/csl-citation.json"}</w:instrText>
      </w:r>
      <w:r w:rsidR="0070191E">
        <w:rPr>
          <w:color w:val="000000" w:themeColor="text1"/>
        </w:rPr>
        <w:fldChar w:fldCharType="separate"/>
      </w:r>
      <w:r w:rsidR="006E3330" w:rsidRPr="006E3330">
        <w:rPr>
          <w:noProof/>
          <w:color w:val="000000" w:themeColor="text1"/>
          <w:vertAlign w:val="superscript"/>
        </w:rPr>
        <w:t>6</w:t>
      </w:r>
      <w:r w:rsidR="0070191E">
        <w:rPr>
          <w:color w:val="000000" w:themeColor="text1"/>
        </w:rPr>
        <w:fldChar w:fldCharType="end"/>
      </w:r>
      <w:r w:rsidR="00003E06" w:rsidRPr="00431F9A">
        <w:rPr>
          <w:color w:val="000000" w:themeColor="text1"/>
        </w:rPr>
        <w:t xml:space="preserve">, it is unclear </w:t>
      </w:r>
      <w:r w:rsidR="006659E7" w:rsidRPr="00431F9A">
        <w:rPr>
          <w:color w:val="000000" w:themeColor="text1"/>
        </w:rPr>
        <w:t>how weakly it binds at different conditions</w:t>
      </w:r>
      <w:r w:rsidR="00865B7C">
        <w:rPr>
          <w:color w:val="000000" w:themeColor="text1"/>
        </w:rPr>
        <w:t>.</w:t>
      </w:r>
      <w:r w:rsidR="009150BA">
        <w:rPr>
          <w:color w:val="000000" w:themeColor="text1"/>
        </w:rPr>
        <w:t xml:space="preserve"> </w:t>
      </w:r>
      <w:r w:rsidR="00003E06" w:rsidRPr="00431F9A">
        <w:rPr>
          <w:color w:val="000000" w:themeColor="text1"/>
        </w:rPr>
        <w:t xml:space="preserve">It is also unclear what the equilibrium coverage </w:t>
      </w:r>
      <w:r w:rsidR="00842141" w:rsidRPr="00431F9A">
        <w:rPr>
          <w:color w:val="000000" w:themeColor="text1"/>
        </w:rPr>
        <w:t>of CO on a gold step o</w:t>
      </w:r>
      <w:r w:rsidR="00FE2F5A" w:rsidRPr="00431F9A">
        <w:rPr>
          <w:color w:val="000000" w:themeColor="text1"/>
        </w:rPr>
        <w:t>r</w:t>
      </w:r>
      <w:r w:rsidR="00842141" w:rsidRPr="00431F9A">
        <w:rPr>
          <w:color w:val="000000" w:themeColor="text1"/>
        </w:rPr>
        <w:t xml:space="preserve"> terrace </w:t>
      </w:r>
      <w:r w:rsidR="00842141">
        <w:t>is</w:t>
      </w:r>
      <w:r w:rsidR="00003E06">
        <w:t xml:space="preserve">, either in atmospheric conditions or in an electrochemical environment. </w:t>
      </w:r>
    </w:p>
    <w:p w:rsidR="00003E06" w:rsidRDefault="00B67133" w:rsidP="000B5610">
      <w:pPr>
        <w:pStyle w:val="SNSynopsisTOC"/>
        <w:spacing w:after="240"/>
        <w:jc w:val="left"/>
      </w:pPr>
      <w:r>
        <w:t>To understand s</w:t>
      </w:r>
      <w:r w:rsidR="001B2935">
        <w:t>tructure sensitivity of</w:t>
      </w:r>
      <w:r>
        <w:t xml:space="preserve"> gold </w:t>
      </w:r>
      <w:r w:rsidR="00F125A2">
        <w:t>facets,</w:t>
      </w:r>
      <w:r>
        <w:t xml:space="preserve"> Lead UPD was performed in an earlier study</w:t>
      </w:r>
      <w:r w:rsidR="001610BF">
        <w:t>.</w:t>
      </w:r>
      <w:r>
        <w:t xml:space="preserve"> </w:t>
      </w:r>
      <w:r w:rsidR="001610BF">
        <w:t xml:space="preserve"> </w:t>
      </w:r>
      <w:r w:rsidR="001B2935">
        <w:t xml:space="preserve"> </w:t>
      </w:r>
      <w:r w:rsidR="007E3A2B" w:rsidRPr="00B95C53">
        <w:rPr>
          <w:color w:val="984806" w:themeColor="accent6" w:themeShade="80"/>
        </w:rPr>
        <w:t xml:space="preserve">&lt; Something else about UPD? &gt; </w:t>
      </w:r>
    </w:p>
    <w:p w:rsidR="00D43767" w:rsidRDefault="00BA0797" w:rsidP="000B5610">
      <w:pPr>
        <w:pStyle w:val="SNSynopsisTOC"/>
        <w:spacing w:after="240"/>
        <w:jc w:val="left"/>
      </w:pPr>
      <w:r>
        <w:t>Adsorption energies</w:t>
      </w:r>
      <w:r w:rsidR="003C433E">
        <w:t xml:space="preserve">, </w:t>
      </w:r>
      <w:r>
        <w:t xml:space="preserve">limiting potential analyses </w:t>
      </w:r>
      <w:r w:rsidR="003C433E">
        <w:t xml:space="preserve">and reaction kinetics </w:t>
      </w:r>
      <w:r>
        <w:t xml:space="preserve">have been carried out for several reactions involving CO on Au. </w:t>
      </w:r>
      <w:r w:rsidR="00BD00B3">
        <w:t xml:space="preserve">However, </w:t>
      </w:r>
      <w:r w:rsidR="00220DCD">
        <w:t xml:space="preserve">most of </w:t>
      </w:r>
      <w:r w:rsidR="00A6755A">
        <w:t xml:space="preserve">these ab-initio calculations </w:t>
      </w:r>
      <w:r w:rsidR="00E26220">
        <w:t xml:space="preserve">have focused on </w:t>
      </w:r>
      <w:r w:rsidR="00CF687B">
        <w:t xml:space="preserve">prediction of activity </w:t>
      </w:r>
      <w:r w:rsidR="00E26220">
        <w:t xml:space="preserve">using charge-neutral calculations, without </w:t>
      </w:r>
      <w:r w:rsidR="00A26335">
        <w:t xml:space="preserve">explicitly </w:t>
      </w:r>
      <w:r w:rsidR="00E26220">
        <w:t>including the effect of solvent. This</w:t>
      </w:r>
      <w:r w:rsidR="0002503E">
        <w:t xml:space="preserve"> approximation</w:t>
      </w:r>
      <w:r w:rsidR="00E26220">
        <w:t xml:space="preserve"> excludes </w:t>
      </w:r>
      <w:r w:rsidR="00D526B4">
        <w:t xml:space="preserve">critical effects such as </w:t>
      </w:r>
      <w:r w:rsidR="00E26220">
        <w:t xml:space="preserve">the effect of the </w:t>
      </w:r>
      <w:r w:rsidR="00E26220">
        <w:lastRenderedPageBreak/>
        <w:t xml:space="preserve">interfacial electric field </w:t>
      </w:r>
      <w:r w:rsidR="004304CD">
        <w:t xml:space="preserve">and </w:t>
      </w:r>
      <w:r w:rsidR="002A00C6">
        <w:t>competitive adsorption of water</w:t>
      </w:r>
      <w:r w:rsidR="00D526B4">
        <w:t>, which might significantly alter the nature of their predictions</w:t>
      </w:r>
      <w:r w:rsidR="004A5CC2">
        <w:t xml:space="preserve">. </w:t>
      </w:r>
    </w:p>
    <w:p w:rsidR="00BC709A" w:rsidRDefault="00D43767" w:rsidP="00D43767">
      <w:pPr>
        <w:pStyle w:val="SNSynopsisTOC"/>
        <w:spacing w:after="240"/>
        <w:jc w:val="left"/>
      </w:pPr>
      <w:r>
        <w:t xml:space="preserve">This work presents a joint experimental and theoretical investigation on the binding characteristics of CO on Au. We first benchmark DFT adsorption energies to available experimental TPD data. Simulating TPD spectra shows that up to 0.5ML of CO may be present on an Au(211) step. By carrying out lead under-potential deposition, active CO adsorption sites are blocked. This </w:t>
      </w:r>
      <w:r w:rsidR="00CA17B4">
        <w:t xml:space="preserve">experiment </w:t>
      </w:r>
      <w:r>
        <w:t xml:space="preserve">is rationalized by surface </w:t>
      </w:r>
      <w:r w:rsidR="00B86BFC">
        <w:t>P</w:t>
      </w:r>
      <w:r>
        <w:t xml:space="preserve">ourbaix diagrams which show that lead </w:t>
      </w:r>
      <w:r w:rsidR="00262471">
        <w:t>covers</w:t>
      </w:r>
      <w:r>
        <w:t xml:space="preserve"> </w:t>
      </w:r>
      <w:r w:rsidR="002A00C6">
        <w:t>211</w:t>
      </w:r>
      <w:r>
        <w:t xml:space="preserve"> and </w:t>
      </w:r>
      <w:r w:rsidR="002A00C6">
        <w:t>100</w:t>
      </w:r>
      <w:r>
        <w:t xml:space="preserve"> facets,</w:t>
      </w:r>
      <w:r w:rsidR="00621B44">
        <w:t xml:space="preserve"> </w:t>
      </w:r>
      <w:r>
        <w:t>while the 111 facet is covered only at more reducing conditions. Ab-initio molecular dynamics calculations show the impact of competitive water adsorption on the</w:t>
      </w:r>
      <w:r w:rsidR="000955D9">
        <w:t xml:space="preserve"> </w:t>
      </w:r>
      <w:r w:rsidR="00790348">
        <w:t>211</w:t>
      </w:r>
      <w:r w:rsidR="00285DF6">
        <w:t>-</w:t>
      </w:r>
      <w:r>
        <w:t xml:space="preserve">step sites is more prominent than compared to </w:t>
      </w:r>
      <w:r w:rsidR="00F66C48">
        <w:t>100-</w:t>
      </w:r>
      <w:r>
        <w:t xml:space="preserve">terrace sites. This investigation </w:t>
      </w:r>
      <w:r w:rsidR="00AD20C5">
        <w:t>uses</w:t>
      </w:r>
      <w:r>
        <w:t xml:space="preserve"> state of the art methods </w:t>
      </w:r>
      <w:r w:rsidR="00CF16AB">
        <w:t>to provide</w:t>
      </w:r>
      <w:r>
        <w:t xml:space="preserve"> a fundamental understanding of the interface</w:t>
      </w:r>
      <w:r w:rsidR="0025369E">
        <w:t xml:space="preserve"> </w:t>
      </w:r>
      <w:r>
        <w:t xml:space="preserve">at CO2R condition on </w:t>
      </w:r>
      <w:r w:rsidR="00C32EB7">
        <w:t xml:space="preserve">different </w:t>
      </w:r>
      <w:r>
        <w:t>gold</w:t>
      </w:r>
      <w:r w:rsidR="00C32EB7">
        <w:t xml:space="preserve"> facets</w:t>
      </w:r>
      <w:r w:rsidR="001C4C89">
        <w:t>, while showing that predictive reaction energetics is still a challenge</w:t>
      </w:r>
      <w:r>
        <w:t>.</w:t>
      </w:r>
    </w:p>
    <w:p w:rsidR="00660E6C" w:rsidRDefault="00660E6C" w:rsidP="00D43767">
      <w:pPr>
        <w:pStyle w:val="SNSynopsisTOC"/>
        <w:spacing w:after="240"/>
        <w:jc w:val="left"/>
        <w:rPr>
          <w:b/>
        </w:rPr>
      </w:pPr>
      <w:r>
        <w:rPr>
          <w:b/>
        </w:rPr>
        <w:br w:type="page"/>
      </w:r>
    </w:p>
    <w:p w:rsidR="00BC709A" w:rsidRDefault="00BC709A" w:rsidP="00D43767">
      <w:pPr>
        <w:pStyle w:val="SNSynopsisTOC"/>
        <w:spacing w:after="240"/>
        <w:jc w:val="left"/>
        <w:rPr>
          <w:b/>
        </w:rPr>
      </w:pPr>
      <w:r w:rsidRPr="00BC709A">
        <w:rPr>
          <w:b/>
        </w:rPr>
        <w:lastRenderedPageBreak/>
        <w:t>CO adsorption under atmospheric conditions</w:t>
      </w:r>
    </w:p>
    <w:p w:rsidR="00586C49" w:rsidRDefault="00BA327C" w:rsidP="00D43767">
      <w:pPr>
        <w:pStyle w:val="SNSynopsisTOC"/>
        <w:spacing w:after="240"/>
        <w:jc w:val="left"/>
      </w:pPr>
      <w:r>
        <w:t xml:space="preserve">In order to determine if CO adsorbs </w:t>
      </w:r>
      <w:r w:rsidR="004769F3">
        <w:t>under</w:t>
      </w:r>
      <w:r>
        <w:t xml:space="preserve"> </w:t>
      </w:r>
      <w:r w:rsidR="00EE37A0">
        <w:t>CO2R</w:t>
      </w:r>
      <w:r>
        <w:t xml:space="preserve"> conditions, we first investigate what the coverage of CO would be </w:t>
      </w:r>
      <w:r w:rsidR="00AB4433">
        <w:t>under</w:t>
      </w:r>
      <w:r>
        <w:t xml:space="preserve"> atmospheric conditions. Previously published TPD data</w:t>
      </w:r>
      <w:r w:rsidR="004B2EA0">
        <w:rPr>
          <w:rStyle w:val="FootnoteReference"/>
        </w:rPr>
        <w:fldChar w:fldCharType="begin" w:fldLock="1"/>
      </w:r>
      <w:r w:rsidR="009353D0">
        <w:instrText>ADDIN CSL_CITATION {"citationItems":[{"id":"ITEM-1","itemData":{"DOI":"10.1021/jp061685d","ISSN":"15206106","abstract":"We have used primarily temperature-programmed desorption (TPD) and infrared reflection-absorption spectroscopy (IRAS) to investigate CO adsorption on a Au(211) stepped single-crystal surface. The Au(211) surface can be described as a step-terrace structure consisting of three-atom-wide terraces of (111) orientation and a monatomic step with a (100) orientation, or 3(111) x (100) in microfacet notation. CO was only weakly adsorbed but was more strongly bound at step sites (12 kcal mol(-1)) than at terrace sites (6.5-9 kcal mol(-1)). The sticking coefficient of CO on the Au(211) surface was also higher ( approximately 5x) during occupation of step sites compared to populating terrace sites at higher coverages. The nu(CO) stretching band energy in IRAS spectra indicated that CO was adsorbed at atop sites at all coverages and conditions. A small red shift of nu(CO) from 2126 to 2112 cm(-1) occurred with increasing CO coverage on the surface. We conclude that the presence of these particular step sites at the Au(211) surface imparts stronger CO bonding and a higher reactivity than on the flat Au(111) surface, but these changes are not remarkable compared to chemistry on other more reactive crystal planes or other stepped Au surfaces. Thus, it is unlikely that the presence or absence of this particular crystal plane alone at the surface of supported Au nanoparticles has much to do with the remarkable properties of highly active Au catalysts.","author":[{"dropping-particle":"","family":"Kim","given":"Jooho","non-dropping-particle":"","parse-names":false,"suffix":""},{"dropping-particle":"","family":"Samano","given":"Enrique","non-dropping-particle":"","parse-names":false,"suffix":""},{"dropping-particle":"","family":"Koel","given":"Bruce E","non-dropping-particle":"","parse-names":false,"suffix":""}],"container-title":"Journal of Physical Chemistry B","id":"ITEM-1","issue":"35","issued":{"date-parts":[["2006"]]},"page":"17512-17517","title":"CO adsorption and reaction on clean and oxygen-covered Au(211) surfaces","type":"article-journal","volume":"110"},"uris":["http://www.mendeley.com/documents/?uuid=f8b66caf-1005-3b8b-b4fe-4fa8b9e84447"]}],"mendeley":{"formattedCitation":"&lt;sup&gt;7&lt;/sup&gt;","plainTextFormattedCitation":"7","previouslyFormattedCitation":"&lt;sup&gt;7&lt;/sup&gt;"},"properties":{"noteIndex":0},"schema":"https://github.com/citation-style-language/schema/raw/master/csl-citation.json"}</w:instrText>
      </w:r>
      <w:r w:rsidR="004B2EA0">
        <w:rPr>
          <w:rStyle w:val="FootnoteReference"/>
        </w:rPr>
        <w:fldChar w:fldCharType="separate"/>
      </w:r>
      <w:r w:rsidR="006E3330" w:rsidRPr="006E3330">
        <w:rPr>
          <w:noProof/>
          <w:vertAlign w:val="superscript"/>
        </w:rPr>
        <w:t>7</w:t>
      </w:r>
      <w:r w:rsidR="004B2EA0">
        <w:rPr>
          <w:rStyle w:val="FootnoteReference"/>
        </w:rPr>
        <w:fldChar w:fldCharType="end"/>
      </w:r>
      <w:r w:rsidR="005D601C">
        <w:t xml:space="preserve"> </w:t>
      </w:r>
      <w:r>
        <w:t xml:space="preserve">allows </w:t>
      </w:r>
      <w:r w:rsidR="0070191E">
        <w:t>us to</w:t>
      </w:r>
      <w:r>
        <w:t xml:space="preserve"> </w:t>
      </w:r>
      <w:r w:rsidR="0070191E">
        <w:t xml:space="preserve">determine the </w:t>
      </w:r>
      <w:r>
        <w:t xml:space="preserve">adsorption energies as a function of the </w:t>
      </w:r>
      <w:r w:rsidR="00DB2F38">
        <w:t>temperature and coverage</w:t>
      </w:r>
      <w:r w:rsidR="005D601C">
        <w:t xml:space="preserve">. This is done by assuming CO desorption is a first order kinetic process, given by the following rate equation </w:t>
      </w:r>
    </w:p>
    <w:p w:rsidR="00DA187E" w:rsidRPr="00DA187E" w:rsidRDefault="00C045DE" w:rsidP="00D43767">
      <w:pPr>
        <w:pStyle w:val="SNSynopsisTOC"/>
        <w:spacing w:after="240"/>
        <w:jc w:val="left"/>
      </w:pPr>
      <m:oMathPara>
        <m:oMath>
          <m:eqArr>
            <m:eqArrPr>
              <m:maxDist m:val="1"/>
              <m:ctrlPr>
                <w:rPr>
                  <w:rFonts w:ascii="Cambria Math" w:hAnsi="Cambria Math"/>
                  <w:i/>
                </w:rPr>
              </m:ctrlPr>
            </m:eqArrPr>
            <m:e>
              <m:r>
                <w:rPr>
                  <w:rFonts w:ascii="Cambria Math" w:hAnsi="Cambria Math"/>
                </w:rPr>
                <m:t>rate=</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num>
                <m:den>
                  <m:r>
                    <w:rPr>
                      <w:rFonts w:ascii="Cambria Math" w:hAnsi="Cambria Math"/>
                    </w:rPr>
                    <m:t>h</m:t>
                  </m:r>
                </m:den>
              </m:f>
              <m:func>
                <m:funcPr>
                  <m:ctrlPr>
                    <w:rPr>
                      <w:rFonts w:ascii="Cambria Math" w:hAnsi="Cambria Math"/>
                      <w:i/>
                    </w:rPr>
                  </m:ctrlPr>
                </m:funcPr>
                <m:fName>
                  <m:r>
                    <m:rPr>
                      <m:sty m:val="p"/>
                    </m:rPr>
                    <w:rPr>
                      <w:rFonts w:ascii="Cambria Math" w:hAnsi="Cambria Math"/>
                    </w:rPr>
                    <m:t>exp</m:t>
                  </m:r>
                </m:fName>
                <m:e>
                  <m:eqArr>
                    <m:eqArrPr>
                      <m:ctrlPr>
                        <w:rPr>
                          <w:rFonts w:ascii="Cambria Math" w:hAnsi="Cambria Math"/>
                          <w:i/>
                        </w:rPr>
                      </m:ctrlPr>
                    </m:eqArrPr>
                    <m:e>
                      <m:d>
                        <m:dPr>
                          <m:ctrlPr>
                            <w:rPr>
                              <w:rFonts w:ascii="Cambria Math" w:hAnsi="Cambria Math"/>
                              <w:i/>
                            </w:rPr>
                          </m:ctrlPr>
                        </m:dPr>
                        <m:e>
                          <m:r>
                            <w:rPr>
                              <w:rFonts w:ascii="Cambria Math" w:hAnsi="Cambria Math"/>
                            </w:rPr>
                            <m:t xml:space="preserve"> -</m:t>
                          </m:r>
                          <m:f>
                            <m:fPr>
                              <m:ctrlPr>
                                <w:rPr>
                                  <w:rFonts w:ascii="Cambria Math" w:hAnsi="Cambria Math"/>
                                  <w:i/>
                                </w:rPr>
                              </m:ctrlPr>
                            </m:fPr>
                            <m:num>
                              <m:r>
                                <m:rPr>
                                  <m:sty m:val="p"/>
                                </m:rPr>
                                <w:rPr>
                                  <w:rFonts w:ascii="Cambria Math" w:hAnsi="Cambria Math"/>
                                </w:rPr>
                                <m:t>Δ</m:t>
                              </m:r>
                              <m:sSup>
                                <m:sSupPr>
                                  <m:ctrlPr>
                                    <w:rPr>
                                      <w:rFonts w:ascii="Cambria Math" w:hAnsi="Cambria Math"/>
                                      <w:i/>
                                    </w:rPr>
                                  </m:ctrlPr>
                                </m:sSupPr>
                                <m:e>
                                  <m:r>
                                    <w:rPr>
                                      <w:rFonts w:ascii="Cambria Math" w:hAnsi="Cambria Math"/>
                                    </w:rPr>
                                    <m:t>G</m:t>
                                  </m:r>
                                </m:e>
                                <m:sup>
                                  <m:r>
                                    <w:rPr>
                                      <w:rFonts w:ascii="Cambria Math" w:hAnsi="Cambria Math"/>
                                    </w:rPr>
                                    <m:t>TS</m:t>
                                  </m:r>
                                </m:sup>
                              </m:sSup>
                            </m:num>
                            <m:den>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den>
                          </m:f>
                        </m:e>
                      </m:d>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CO(T)</m:t>
                          </m:r>
                        </m:sub>
                      </m:sSub>
                      <m:r>
                        <w:rPr>
                          <w:rFonts w:ascii="Cambria Math" w:hAnsi="Cambria Math"/>
                        </w:rPr>
                        <m:t xml:space="preserve">##### </m:t>
                      </m:r>
                    </m:e>
                    <m:e>
                      <m:r>
                        <w:rPr>
                          <w:rFonts w:ascii="Cambria Math" w:hAnsi="Cambria Math"/>
                        </w:rPr>
                        <m:t xml:space="preserve"> </m:t>
                      </m:r>
                    </m:e>
                  </m:eqArr>
                </m:e>
              </m:func>
              <m:r>
                <w:rPr>
                  <w:rFonts w:ascii="Cambria Math" w:hAnsi="Cambria Math"/>
                </w:rPr>
                <m:t>#</m:t>
              </m:r>
              <m:d>
                <m:dPr>
                  <m:ctrlPr>
                    <w:rPr>
                      <w:rFonts w:ascii="Cambria Math" w:hAnsi="Cambria Math"/>
                      <w:i/>
                    </w:rPr>
                  </m:ctrlPr>
                </m:dPr>
                <m:e>
                  <m:r>
                    <w:rPr>
                      <w:rFonts w:ascii="Cambria Math" w:hAnsi="Cambria Math"/>
                    </w:rPr>
                    <m:t>1</m:t>
                  </m:r>
                </m:e>
              </m:d>
            </m:e>
          </m:eqArr>
        </m:oMath>
      </m:oMathPara>
    </w:p>
    <w:p w:rsidR="00E76CAD" w:rsidRDefault="00E76CAD" w:rsidP="00D43767">
      <w:pPr>
        <w:pStyle w:val="SNSynopsisTOC"/>
        <w:spacing w:after="240"/>
        <w:jc w:val="left"/>
      </w:pPr>
      <w:r>
        <w:t>where,</w:t>
      </w:r>
      <w:r w:rsidR="003F1FDA">
        <w:t xml:space="preserve"> </w:t>
      </w:r>
      <w:r>
        <w:t xml:space="preserve"> </w:t>
      </w:r>
      <m:oMath>
        <m:sSup>
          <m:sSupPr>
            <m:ctrlPr>
              <w:rPr>
                <w:rFonts w:ascii="Cambria Math" w:hAnsi="Cambria Math"/>
                <w:i/>
              </w:rPr>
            </m:ctrlPr>
          </m:sSupPr>
          <m:e>
            <m:r>
              <m:rPr>
                <m:sty m:val="p"/>
              </m:rPr>
              <w:rPr>
                <w:rFonts w:ascii="Cambria Math" w:hAnsi="Cambria Math"/>
              </w:rPr>
              <m:t>Δ</m:t>
            </m:r>
            <m:r>
              <w:rPr>
                <w:rFonts w:ascii="Cambria Math" w:hAnsi="Cambria Math"/>
              </w:rPr>
              <m:t>G</m:t>
            </m:r>
          </m:e>
          <m:sup>
            <m:r>
              <w:rPr>
                <w:rFonts w:ascii="Cambria Math" w:hAnsi="Cambria Math"/>
              </w:rPr>
              <m:t>TS</m:t>
            </m:r>
          </m:sup>
        </m:sSup>
        <m:r>
          <w:rPr>
            <w:rFonts w:ascii="Cambria Math" w:hAnsi="Cambria Math"/>
          </w:rPr>
          <m:t>=energy of CO desorption transition state=</m:t>
        </m:r>
        <m:sSubSup>
          <m:sSubSupPr>
            <m:ctrlPr>
              <w:rPr>
                <w:rFonts w:ascii="Cambria Math" w:hAnsi="Cambria Math"/>
                <w:i/>
              </w:rPr>
            </m:ctrlPr>
          </m:sSubSupPr>
          <m:e>
            <m:r>
              <w:rPr>
                <w:rFonts w:ascii="Cambria Math" w:hAnsi="Cambria Math"/>
              </w:rPr>
              <m:t>G</m:t>
            </m:r>
          </m:e>
          <m:sub>
            <m:r>
              <w:rPr>
                <w:rFonts w:ascii="Cambria Math" w:hAnsi="Cambria Math"/>
              </w:rPr>
              <m:t>CO</m:t>
            </m:r>
          </m:sub>
          <m:sup>
            <m:r>
              <w:rPr>
                <w:rFonts w:ascii="Cambria Math" w:hAnsi="Cambria Math"/>
              </w:rPr>
              <m:t>TS</m:t>
            </m:r>
          </m:sup>
        </m:sSubSup>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Sup>
              <m:sSupPr>
                <m:ctrlPr>
                  <w:rPr>
                    <w:rFonts w:ascii="Cambria Math" w:hAnsi="Cambria Math"/>
                    <w:i/>
                  </w:rPr>
                </m:ctrlPr>
              </m:sSupPr>
              <m:e>
                <m:r>
                  <w:rPr>
                    <w:rFonts w:ascii="Cambria Math" w:hAnsi="Cambria Math"/>
                  </w:rPr>
                  <m:t>O</m:t>
                </m:r>
              </m:e>
              <m:sup>
                <m:r>
                  <w:rPr>
                    <w:rFonts w:ascii="Cambria Math" w:hAnsi="Cambria Math"/>
                  </w:rPr>
                  <m:t>*</m:t>
                </m:r>
              </m:sup>
            </m:sSup>
          </m:sub>
        </m:sSub>
      </m:oMath>
      <w:r>
        <w:t xml:space="preserve"> </w:t>
      </w:r>
      <w:r w:rsidR="003F1FDA">
        <w:t xml:space="preserve">and </w:t>
      </w:r>
      <m:oMath>
        <m:sSub>
          <m:sSubPr>
            <m:ctrlPr>
              <w:rPr>
                <w:rFonts w:ascii="Cambria Math" w:hAnsi="Cambria Math"/>
                <w:i/>
              </w:rPr>
            </m:ctrlPr>
          </m:sSubPr>
          <m:e>
            <m:r>
              <w:rPr>
                <w:rFonts w:ascii="Cambria Math" w:hAnsi="Cambria Math"/>
              </w:rPr>
              <m:t>θ</m:t>
            </m:r>
          </m:e>
          <m:sub>
            <m:r>
              <w:rPr>
                <w:rFonts w:ascii="Cambria Math" w:hAnsi="Cambria Math"/>
              </w:rPr>
              <m:t>CO(T)</m:t>
            </m:r>
          </m:sub>
        </m:sSub>
        <m:r>
          <w:rPr>
            <w:rFonts w:ascii="Cambria Math" w:hAnsi="Cambria Math"/>
          </w:rPr>
          <m:t>=coverage of CO at a given tempetarature T</m:t>
        </m:r>
      </m:oMath>
    </w:p>
    <w:p w:rsidR="008E7AC2" w:rsidRDefault="00116B76" w:rsidP="00D43767">
      <w:pPr>
        <w:pStyle w:val="SNSynopsisTOC"/>
        <w:spacing w:after="240"/>
        <w:jc w:val="left"/>
      </w:pPr>
      <w:r>
        <w:t xml:space="preserve">To determine the binding energy as a function of the coverage, we make the following assumptions. 1) CO desorbs into vacuum in the TPD experiment, i.e. there is no re-adsorption of CO, once it has </w:t>
      </w:r>
      <w:r w:rsidR="00846342">
        <w:t>been removed from</w:t>
      </w:r>
      <w:r>
        <w:t xml:space="preserve"> the gold surface. 2) The entropic contribution associated with the transition state of CO desorption is the same as the adsorbed CO molecule.</w:t>
      </w:r>
      <w:r w:rsidR="00AF365A">
        <w:t xml:space="preserve"> This assumption is equivalent to saying that a late transition state is observed, which has been shown in the SI. </w:t>
      </w:r>
      <w:r w:rsidR="002B134F">
        <w:t xml:space="preserve">This allows us to write </w:t>
      </w:r>
      <m:oMath>
        <m:sSup>
          <m:sSupPr>
            <m:ctrlPr>
              <w:rPr>
                <w:rFonts w:ascii="Cambria Math" w:hAnsi="Cambria Math"/>
                <w:i/>
              </w:rPr>
            </m:ctrlPr>
          </m:sSupPr>
          <m:e>
            <m:r>
              <m:rPr>
                <m:sty m:val="p"/>
              </m:rPr>
              <w:rPr>
                <w:rFonts w:ascii="Cambria Math" w:hAnsi="Cambria Math"/>
              </w:rPr>
              <m:t>Δ</m:t>
            </m:r>
            <m:r>
              <w:rPr>
                <w:rFonts w:ascii="Cambria Math" w:hAnsi="Cambria Math"/>
              </w:rPr>
              <m:t>G</m:t>
            </m:r>
          </m:e>
          <m:sup>
            <m:r>
              <w:rPr>
                <w:rFonts w:ascii="Cambria Math" w:hAnsi="Cambria Math"/>
              </w:rPr>
              <m:t>TS</m:t>
            </m:r>
          </m:sup>
        </m:sSup>
      </m:oMath>
      <w:r w:rsidR="002B134F">
        <w:t xml:space="preserve"> as:</w:t>
      </w:r>
    </w:p>
    <w:p w:rsidR="005C4298" w:rsidRPr="00DF4FB9" w:rsidRDefault="00C045DE" w:rsidP="00D43767">
      <w:pPr>
        <w:pStyle w:val="SNSynopsisTOC"/>
        <w:spacing w:after="240"/>
        <w:jc w:val="left"/>
      </w:pPr>
      <m:oMathPara>
        <m:oMath>
          <m:eqArr>
            <m:eqArrPr>
              <m:maxDist m:val="1"/>
              <m:ctrlPr>
                <w:rPr>
                  <w:rFonts w:ascii="Cambria Math" w:hAnsi="Cambria Math"/>
                  <w:i/>
                </w:rPr>
              </m:ctrlPr>
            </m:eqArrPr>
            <m:e>
              <m:r>
                <m:rPr>
                  <m:sty m:val="p"/>
                </m:rPr>
                <w:rPr>
                  <w:rFonts w:ascii="Cambria Math" w:hAnsi="Cambria Math"/>
                </w:rPr>
                <m:t>Δ</m:t>
              </m:r>
              <m:sSup>
                <m:sSupPr>
                  <m:ctrlPr>
                    <w:rPr>
                      <w:rFonts w:ascii="Cambria Math" w:hAnsi="Cambria Math"/>
                      <w:i/>
                    </w:rPr>
                  </m:ctrlPr>
                </m:sSupPr>
                <m:e>
                  <m:r>
                    <w:rPr>
                      <w:rFonts w:ascii="Cambria Math" w:hAnsi="Cambria Math"/>
                    </w:rPr>
                    <m:t>G</m:t>
                  </m:r>
                </m:e>
                <m:sup>
                  <m:r>
                    <w:rPr>
                      <w:rFonts w:ascii="Cambria Math" w:hAnsi="Cambria Math"/>
                    </w:rPr>
                    <m:t>TS</m:t>
                  </m:r>
                </m:sup>
              </m:sSup>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C</m:t>
                  </m:r>
                  <m:sSup>
                    <m:sSupPr>
                      <m:ctrlPr>
                        <w:rPr>
                          <w:rFonts w:ascii="Cambria Math" w:hAnsi="Cambria Math"/>
                          <w:i/>
                        </w:rPr>
                      </m:ctrlPr>
                    </m:sSupPr>
                    <m:e>
                      <m:r>
                        <w:rPr>
                          <w:rFonts w:ascii="Cambria Math" w:hAnsi="Cambria Math"/>
                        </w:rPr>
                        <m:t>O</m:t>
                      </m:r>
                    </m:e>
                    <m:sup>
                      <m:r>
                        <w:rPr>
                          <w:rFonts w:ascii="Cambria Math" w:hAnsi="Cambria Math"/>
                        </w:rPr>
                        <m:t>TS</m:t>
                      </m:r>
                    </m:sup>
                  </m:sSup>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C</m:t>
                  </m:r>
                  <m:sSup>
                    <m:sSupPr>
                      <m:ctrlPr>
                        <w:rPr>
                          <w:rFonts w:ascii="Cambria Math" w:hAnsi="Cambria Math"/>
                          <w:i/>
                        </w:rPr>
                      </m:ctrlPr>
                    </m:sSupPr>
                    <m:e>
                      <m:r>
                        <w:rPr>
                          <w:rFonts w:ascii="Cambria Math" w:hAnsi="Cambria Math"/>
                        </w:rPr>
                        <m:t>O</m:t>
                      </m:r>
                    </m:e>
                    <m:sup>
                      <m:r>
                        <w:rPr>
                          <w:rFonts w:ascii="Cambria Math" w:hAnsi="Cambria Math"/>
                        </w:rPr>
                        <m:t>*</m:t>
                      </m:r>
                    </m:sup>
                  </m:sSup>
                </m:sub>
              </m:sSub>
              <m:r>
                <w:rPr>
                  <w:rFonts w:ascii="Cambria Math" w:hAnsi="Cambria Math"/>
                </w:rPr>
                <m:t>+</m:t>
              </m:r>
              <m:r>
                <m:rPr>
                  <m:sty m:val="p"/>
                </m:rPr>
                <w:rPr>
                  <w:rFonts w:ascii="Cambria Math" w:hAnsi="Cambria Math"/>
                </w:rPr>
                <m:t>Δ</m:t>
              </m:r>
              <m:r>
                <w:rPr>
                  <w:rFonts w:ascii="Cambria Math" w:hAnsi="Cambria Math"/>
                </w:rPr>
                <m:t>ZPE=</m:t>
              </m:r>
              <m:r>
                <m:rPr>
                  <m:sty m:val="p"/>
                </m:rPr>
                <w:rPr>
                  <w:rFonts w:ascii="Cambria Math" w:hAnsi="Cambria Math"/>
                </w:rPr>
                <m:t>Δ</m:t>
              </m:r>
              <m:sSubSup>
                <m:sSubSupPr>
                  <m:ctrlPr>
                    <w:rPr>
                      <w:rFonts w:ascii="Cambria Math" w:hAnsi="Cambria Math"/>
                      <w:i/>
                    </w:rPr>
                  </m:ctrlPr>
                </m:sSubSupPr>
                <m:e>
                  <m:r>
                    <w:rPr>
                      <w:rFonts w:ascii="Cambria Math" w:hAnsi="Cambria Math"/>
                    </w:rPr>
                    <m:t>E</m:t>
                  </m:r>
                </m:e>
                <m:sub>
                  <m:r>
                    <w:rPr>
                      <w:rFonts w:ascii="Cambria Math" w:hAnsi="Cambria Math"/>
                    </w:rPr>
                    <m:t>CO</m:t>
                  </m:r>
                </m:sub>
                <m:sup>
                  <m:r>
                    <w:rPr>
                      <w:rFonts w:ascii="Cambria Math" w:hAnsi="Cambria Math"/>
                    </w:rPr>
                    <m:t>TS</m:t>
                  </m:r>
                </m:sup>
              </m:sSubSup>
              <m:r>
                <w:rPr>
                  <w:rFonts w:ascii="Cambria Math" w:hAnsi="Cambria Math"/>
                </w:rPr>
                <m:t xml:space="preserve"> #</m:t>
              </m:r>
              <m:d>
                <m:dPr>
                  <m:ctrlPr>
                    <w:rPr>
                      <w:rFonts w:ascii="Cambria Math" w:hAnsi="Cambria Math"/>
                      <w:i/>
                    </w:rPr>
                  </m:ctrlPr>
                </m:dPr>
                <m:e>
                  <m:r>
                    <w:rPr>
                      <w:rFonts w:ascii="Cambria Math" w:hAnsi="Cambria Math"/>
                    </w:rPr>
                    <m:t>2</m:t>
                  </m:r>
                </m:e>
              </m:d>
            </m:e>
          </m:eqArr>
        </m:oMath>
      </m:oMathPara>
    </w:p>
    <w:p w:rsidR="0082053F" w:rsidRDefault="00DF4FB9" w:rsidP="00D1297B">
      <w:pPr>
        <w:pStyle w:val="SNSynopsisTOC"/>
        <w:spacing w:after="240"/>
        <w:jc w:val="left"/>
      </w:pPr>
      <w:r>
        <w:fldChar w:fldCharType="begin"/>
      </w:r>
      <w:r>
        <w:instrText xml:space="preserve"> REF _Ref31635728 \h </w:instrText>
      </w:r>
      <w:r>
        <w:fldChar w:fldCharType="separate"/>
      </w:r>
      <w:r>
        <w:t xml:space="preserve">Figure </w:t>
      </w:r>
      <w:r>
        <w:rPr>
          <w:noProof/>
        </w:rPr>
        <w:t>1</w:t>
      </w:r>
      <w:r>
        <w:fldChar w:fldCharType="end"/>
      </w:r>
      <w:r>
        <w:t xml:space="preserve">a shows the variation of </w:t>
      </w:r>
      <m:oMath>
        <m:r>
          <m:rPr>
            <m:sty m:val="p"/>
          </m:rPr>
          <w:rPr>
            <w:rFonts w:ascii="Cambria Math" w:hAnsi="Cambria Math"/>
          </w:rPr>
          <m:t>Δ</m:t>
        </m:r>
        <m:sSubSup>
          <m:sSubSupPr>
            <m:ctrlPr>
              <w:rPr>
                <w:rFonts w:ascii="Cambria Math" w:hAnsi="Cambria Math"/>
                <w:i/>
              </w:rPr>
            </m:ctrlPr>
          </m:sSubSupPr>
          <m:e>
            <m:r>
              <w:rPr>
                <w:rFonts w:ascii="Cambria Math" w:hAnsi="Cambria Math"/>
              </w:rPr>
              <m:t>E</m:t>
            </m:r>
          </m:e>
          <m:sub>
            <m:r>
              <w:rPr>
                <w:rFonts w:ascii="Cambria Math" w:hAnsi="Cambria Math"/>
              </w:rPr>
              <m:t>CO</m:t>
            </m:r>
          </m:sub>
          <m:sup>
            <m:r>
              <w:rPr>
                <w:rFonts w:ascii="Cambria Math" w:hAnsi="Cambria Math"/>
              </w:rPr>
              <m:t>TS</m:t>
            </m:r>
          </m:sup>
        </m:sSubSup>
      </m:oMath>
      <w:r>
        <w:t xml:space="preserve"> with </w:t>
      </w:r>
      <m:oMath>
        <m:sSub>
          <m:sSubPr>
            <m:ctrlPr>
              <w:rPr>
                <w:rFonts w:ascii="Cambria Math" w:hAnsi="Cambria Math"/>
                <w:i/>
              </w:rPr>
            </m:ctrlPr>
          </m:sSubPr>
          <m:e>
            <m:r>
              <w:rPr>
                <w:rFonts w:ascii="Cambria Math" w:hAnsi="Cambria Math"/>
              </w:rPr>
              <m:t>θ</m:t>
            </m:r>
          </m:e>
          <m:sub>
            <m:r>
              <w:rPr>
                <w:rFonts w:ascii="Cambria Math" w:hAnsi="Cambria Math"/>
              </w:rPr>
              <m:t>CO(T)</m:t>
            </m:r>
          </m:sub>
        </m:sSub>
      </m:oMath>
      <w:r>
        <w:t xml:space="preserve">. The binding energy is larger at lower coverages due to minimal adsorbate-adsorbate interactions. However, </w:t>
      </w:r>
      <w:r w:rsidR="001C6680">
        <w:t xml:space="preserve">as the coverage starts to </w:t>
      </w:r>
      <w:r w:rsidR="001C6680">
        <w:lastRenderedPageBreak/>
        <w:t xml:space="preserve">increase, the binding energy </w:t>
      </w:r>
      <w:r w:rsidR="00D1297B">
        <w:t>decreases</w:t>
      </w:r>
      <w:r w:rsidR="001C6680">
        <w:t xml:space="preserve"> exponentially. </w:t>
      </w:r>
      <w:r w:rsidR="00C318A5">
        <w:rPr>
          <w:noProof/>
        </w:rPr>
        <w:drawing>
          <wp:inline distT="0" distB="0" distL="0" distR="0">
            <wp:extent cx="3587983" cy="6570617"/>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1.png"/>
                    <pic:cNvPicPr/>
                  </pic:nvPicPr>
                  <pic:blipFill>
                    <a:blip r:embed="rId8"/>
                    <a:stretch>
                      <a:fillRect/>
                    </a:stretch>
                  </pic:blipFill>
                  <pic:spPr>
                    <a:xfrm>
                      <a:off x="0" y="0"/>
                      <a:ext cx="3597170" cy="6587440"/>
                    </a:xfrm>
                    <a:prstGeom prst="rect">
                      <a:avLst/>
                    </a:prstGeom>
                  </pic:spPr>
                </pic:pic>
              </a:graphicData>
            </a:graphic>
          </wp:inline>
        </w:drawing>
      </w:r>
    </w:p>
    <w:p w:rsidR="00D1297B" w:rsidRDefault="00D1297B" w:rsidP="00D1297B">
      <w:pPr>
        <w:pStyle w:val="SNSynopsisTOC"/>
        <w:spacing w:after="240"/>
        <w:jc w:val="left"/>
      </w:pPr>
    </w:p>
    <w:p w:rsidR="00BD4044" w:rsidRDefault="0082053F" w:rsidP="00C55C4D">
      <w:pPr>
        <w:pStyle w:val="Caption"/>
        <w:jc w:val="center"/>
      </w:pPr>
      <w:bookmarkStart w:id="0" w:name="_Ref31635728"/>
      <w:r>
        <w:t xml:space="preserve">Figure </w:t>
      </w:r>
      <w:fldSimple w:instr=" SEQ Figure \* ARABIC ">
        <w:r w:rsidR="00AB5B92">
          <w:rPr>
            <w:noProof/>
          </w:rPr>
          <w:t>1</w:t>
        </w:r>
      </w:fldSimple>
      <w:bookmarkEnd w:id="0"/>
      <w:r>
        <w:t>: a) Adsorption energy as a function of the coverage under vacuum conditions b) Coverage obtained under conditions of 1bar CO as a function of the temperature c) Free energies for CO adsorption calculated at different coverages</w:t>
      </w:r>
    </w:p>
    <w:p w:rsidR="00CE2E8E" w:rsidRPr="00CE2E8E" w:rsidRDefault="00CE2E8E" w:rsidP="00CE2E8E"/>
    <w:p w:rsidR="00D1297B" w:rsidRDefault="00D1297B" w:rsidP="009A7319">
      <w:pPr>
        <w:spacing w:line="480" w:lineRule="auto"/>
      </w:pPr>
      <w:r>
        <w:t>Since we are interested in the coverage of CO at atmospheric conditions (1bar C</w:t>
      </w:r>
      <w:r w:rsidR="009A7319">
        <w:t xml:space="preserve">O, 300K), we translate the obtained </w:t>
      </w:r>
      <m:oMath>
        <m:r>
          <m:rPr>
            <m:sty m:val="p"/>
          </m:rPr>
          <w:rPr>
            <w:rFonts w:ascii="Cambria Math" w:hAnsi="Cambria Math"/>
          </w:rPr>
          <m:t>Δ</m:t>
        </m:r>
        <m:sSubSup>
          <m:sSubSupPr>
            <m:ctrlPr>
              <w:rPr>
                <w:rFonts w:ascii="Cambria Math" w:hAnsi="Cambria Math"/>
                <w:i/>
              </w:rPr>
            </m:ctrlPr>
          </m:sSubSupPr>
          <m:e>
            <m:r>
              <w:rPr>
                <w:rFonts w:ascii="Cambria Math" w:hAnsi="Cambria Math"/>
              </w:rPr>
              <m:t>E</m:t>
            </m:r>
          </m:e>
          <m:sub>
            <m:r>
              <w:rPr>
                <w:rFonts w:ascii="Cambria Math" w:hAnsi="Cambria Math"/>
              </w:rPr>
              <m:t>CO</m:t>
            </m:r>
          </m:sub>
          <m:sup>
            <m:r>
              <w:rPr>
                <w:rFonts w:ascii="Cambria Math" w:hAnsi="Cambria Math"/>
              </w:rPr>
              <m:t>TS</m:t>
            </m:r>
          </m:sup>
        </m:sSubSup>
      </m:oMath>
      <w:r w:rsidR="009A7319">
        <w:t xml:space="preserve"> into the free energy of adsorption </w:t>
      </w:r>
      <w:r w:rsidR="00287A6F">
        <w:t xml:space="preserve">using frequencies obtained from DFT calculations of CO adsorbed on </w:t>
      </w:r>
      <w:r w:rsidR="00540E47">
        <w:t xml:space="preserve">the corresponding Gold facet </w:t>
      </w:r>
      <w:r w:rsidR="00FD0A38">
        <w:t>(Further details in the SI)</w:t>
      </w:r>
      <w:r w:rsidR="00287A6F">
        <w:t>.</w:t>
      </w:r>
      <w:r w:rsidR="005079BC">
        <w:t xml:space="preserve"> </w:t>
      </w:r>
    </w:p>
    <w:p w:rsidR="005079BC" w:rsidRPr="001C6A97" w:rsidRDefault="00C045DE" w:rsidP="009A7319">
      <w:pPr>
        <w:spacing w:line="480" w:lineRule="auto"/>
      </w:pPr>
      <m:oMathPara>
        <m:oMath>
          <m:eqArr>
            <m:eqArrPr>
              <m:maxDist m:val="1"/>
              <m:ctrlPr>
                <w:rPr>
                  <w:rFonts w:ascii="Cambria Math" w:hAnsi="Cambria Math"/>
                  <w:i/>
                </w:rPr>
              </m:ctrlPr>
            </m:eqArrPr>
            <m:e>
              <m:r>
                <m:rPr>
                  <m:sty m:val="p"/>
                </m:rPr>
                <w:rPr>
                  <w:rFonts w:ascii="Cambria Math" w:hAnsi="Cambria Math"/>
                </w:rPr>
                <m:t>Δ</m:t>
              </m:r>
              <m:sSub>
                <m:sSubPr>
                  <m:ctrlPr>
                    <w:rPr>
                      <w:rFonts w:ascii="Cambria Math" w:hAnsi="Cambria Math"/>
                      <w:i/>
                    </w:rPr>
                  </m:ctrlPr>
                </m:sSubPr>
                <m:e>
                  <m:r>
                    <w:rPr>
                      <w:rFonts w:ascii="Cambria Math" w:hAnsi="Cambria Math"/>
                    </w:rPr>
                    <m:t>G</m:t>
                  </m:r>
                </m:e>
                <m:sub>
                  <m:r>
                    <w:rPr>
                      <w:rFonts w:ascii="Cambria Math" w:hAnsi="Cambria Math"/>
                    </w:rPr>
                    <m:t>CO</m:t>
                  </m:r>
                </m:sub>
              </m:sSub>
              <m:r>
                <w:rPr>
                  <w:rFonts w:ascii="Cambria Math" w:hAnsi="Cambria Math"/>
                </w:rPr>
                <m:t>=</m:t>
              </m:r>
              <m:r>
                <m:rPr>
                  <m:sty m:val="p"/>
                </m:rPr>
                <w:rPr>
                  <w:rFonts w:ascii="Cambria Math" w:hAnsi="Cambria Math"/>
                </w:rPr>
                <m:t>Δ</m:t>
              </m:r>
              <m:sSubSup>
                <m:sSubSupPr>
                  <m:ctrlPr>
                    <w:rPr>
                      <w:rFonts w:ascii="Cambria Math" w:hAnsi="Cambria Math"/>
                      <w:i/>
                    </w:rPr>
                  </m:ctrlPr>
                </m:sSubSupPr>
                <m:e>
                  <m:r>
                    <w:rPr>
                      <w:rFonts w:ascii="Cambria Math" w:hAnsi="Cambria Math"/>
                    </w:rPr>
                    <m:t>E</m:t>
                  </m:r>
                </m:e>
                <m:sub>
                  <m:r>
                    <w:rPr>
                      <w:rFonts w:ascii="Cambria Math" w:hAnsi="Cambria Math"/>
                    </w:rPr>
                    <m:t>CO</m:t>
                  </m:r>
                </m:sub>
                <m:sup>
                  <m:r>
                    <w:rPr>
                      <w:rFonts w:ascii="Cambria Math" w:hAnsi="Cambria Math"/>
                    </w:rPr>
                    <m:t>TS</m:t>
                  </m:r>
                </m:sup>
              </m:sSubSup>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CO</m:t>
                      </m:r>
                      <m:d>
                        <m:dPr>
                          <m:ctrlPr>
                            <w:rPr>
                              <w:rFonts w:ascii="Cambria Math" w:hAnsi="Cambria Math"/>
                              <w:i/>
                            </w:rPr>
                          </m:ctrlPr>
                        </m:dPr>
                        <m:e>
                          <m:r>
                            <w:rPr>
                              <w:rFonts w:ascii="Cambria Math" w:hAnsi="Cambria Math"/>
                            </w:rPr>
                            <m:t>g</m:t>
                          </m:r>
                        </m:e>
                      </m:d>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m:t>
                      </m:r>
                      <m:sSup>
                        <m:sSupPr>
                          <m:ctrlPr>
                            <w:rPr>
                              <w:rFonts w:ascii="Cambria Math" w:hAnsi="Cambria Math"/>
                              <w:i/>
                            </w:rPr>
                          </m:ctrlPr>
                        </m:sSupPr>
                        <m:e>
                          <m:r>
                            <w:rPr>
                              <w:rFonts w:ascii="Cambria Math" w:hAnsi="Cambria Math"/>
                            </w:rPr>
                            <m:t>O</m:t>
                          </m:r>
                        </m:e>
                        <m:sup>
                          <m:r>
                            <w:rPr>
                              <w:rFonts w:ascii="Cambria Math" w:hAnsi="Cambria Math"/>
                            </w:rPr>
                            <m:t>*</m:t>
                          </m:r>
                        </m:sup>
                      </m:sSup>
                    </m:sub>
                  </m:sSub>
                </m:e>
              </m:d>
              <m:r>
                <w:rPr>
                  <w:rFonts w:ascii="Cambria Math" w:hAnsi="Cambria Math"/>
                </w:rPr>
                <m:t>#</m:t>
              </m:r>
              <m:d>
                <m:dPr>
                  <m:ctrlPr>
                    <w:rPr>
                      <w:rFonts w:ascii="Cambria Math" w:hAnsi="Cambria Math"/>
                      <w:i/>
                    </w:rPr>
                  </m:ctrlPr>
                </m:dPr>
                <m:e>
                  <m:r>
                    <w:rPr>
                      <w:rFonts w:ascii="Cambria Math" w:hAnsi="Cambria Math"/>
                    </w:rPr>
                    <m:t>3</m:t>
                  </m:r>
                </m:e>
              </m:d>
            </m:e>
          </m:eqArr>
          <m:r>
            <w:rPr>
              <w:rFonts w:ascii="Cambria Math" w:hAnsi="Cambria Math"/>
            </w:rPr>
            <m:t xml:space="preserve"> </m:t>
          </m:r>
        </m:oMath>
      </m:oMathPara>
    </w:p>
    <w:p w:rsidR="0076289C" w:rsidRDefault="0076289C" w:rsidP="0076289C">
      <w:pPr>
        <w:spacing w:line="480" w:lineRule="auto"/>
      </w:pPr>
      <w:r>
        <w:t xml:space="preserve">The coverage at atmospheric conditions can be calculated by assuming an equilibrium between adsorbed CO and CO in the gas phase. </w:t>
      </w:r>
      <w:r w:rsidR="00E77940">
        <w:t xml:space="preserve">The relative coverage obtained from the TPD experiment is shown in </w:t>
      </w:r>
      <w:r w:rsidR="00E77940">
        <w:fldChar w:fldCharType="begin"/>
      </w:r>
      <w:r w:rsidR="00E77940">
        <w:instrText xml:space="preserve"> REF _Ref31635728 \h </w:instrText>
      </w:r>
      <w:r w:rsidR="00E77940">
        <w:fldChar w:fldCharType="separate"/>
      </w:r>
      <w:r w:rsidR="00E77940">
        <w:t xml:space="preserve">Figure </w:t>
      </w:r>
      <w:r w:rsidR="00E77940">
        <w:rPr>
          <w:noProof/>
        </w:rPr>
        <w:t>1</w:t>
      </w:r>
      <w:r w:rsidR="00E77940">
        <w:fldChar w:fldCharType="end"/>
      </w:r>
      <w:r w:rsidR="00E77940">
        <w:t xml:space="preserve">b. </w:t>
      </w:r>
      <w:r w:rsidR="00E942D2">
        <w:t xml:space="preserve">At 300K, Au(211) is shown to have a certain coverage, while </w:t>
      </w:r>
      <w:r w:rsidR="00322278">
        <w:t xml:space="preserve">Au(111) has </w:t>
      </w:r>
      <w:r w:rsidR="00D83ED0">
        <w:t>zero coverage</w:t>
      </w:r>
      <w:r w:rsidR="00322278">
        <w:t xml:space="preserve">. </w:t>
      </w:r>
      <w:r w:rsidR="0000324C">
        <w:t xml:space="preserve">The absolute </w:t>
      </w:r>
      <w:r w:rsidR="008662F8">
        <w:t xml:space="preserve">value of the </w:t>
      </w:r>
      <w:r w:rsidR="0000324C">
        <w:t xml:space="preserve">coverage cannot be determined directly from a TPD experiment, unless a saturation coverage is known. </w:t>
      </w:r>
    </w:p>
    <w:p w:rsidR="0095206E" w:rsidRDefault="00BD692E" w:rsidP="0076289C">
      <w:pPr>
        <w:spacing w:line="480" w:lineRule="auto"/>
      </w:pPr>
      <w:r>
        <w:t xml:space="preserve">DFT calculations </w:t>
      </w:r>
      <w:r w:rsidR="00750656">
        <w:t>of</w:t>
      </w:r>
      <w:r>
        <w:t xml:space="preserve"> different </w:t>
      </w:r>
      <w:r w:rsidR="005A27D6">
        <w:t>monolayer</w:t>
      </w:r>
      <w:r>
        <w:t xml:space="preserve"> coverages can be used to</w:t>
      </w:r>
      <w:r w:rsidR="0095206E">
        <w:t xml:space="preserve"> determine a rough estimate of the </w:t>
      </w:r>
      <w:r w:rsidR="0064493C">
        <w:t>absolute</w:t>
      </w:r>
      <w:r w:rsidR="004129CE">
        <w:t xml:space="preserve"> experimental</w:t>
      </w:r>
      <w:r w:rsidR="0064493C">
        <w:t xml:space="preserve"> </w:t>
      </w:r>
      <w:r w:rsidR="0095206E">
        <w:t>coverage</w:t>
      </w:r>
      <w:r>
        <w:t xml:space="preserve"> at given temperature.</w:t>
      </w:r>
      <w:r w:rsidR="00B41122">
        <w:t xml:space="preserve"> All possible surface sites were sampled to determine the minimum adsorption energy at a given surface coverage</w:t>
      </w:r>
      <w:r w:rsidR="006B4B37">
        <w:t xml:space="preserve"> (Details in the SI)</w:t>
      </w:r>
      <w:r w:rsidR="00B41122">
        <w:t xml:space="preserve">. </w:t>
      </w:r>
      <w:r w:rsidR="00C36E55">
        <w:fldChar w:fldCharType="begin"/>
      </w:r>
      <w:r w:rsidR="00C36E55">
        <w:instrText xml:space="preserve"> REF _Ref31635728 \h </w:instrText>
      </w:r>
      <w:r w:rsidR="00C36E55">
        <w:fldChar w:fldCharType="separate"/>
      </w:r>
      <w:r w:rsidR="00C36E55">
        <w:t xml:space="preserve">Figure </w:t>
      </w:r>
      <w:r w:rsidR="00C36E55">
        <w:rPr>
          <w:noProof/>
        </w:rPr>
        <w:t>1</w:t>
      </w:r>
      <w:r w:rsidR="00C36E55">
        <w:fldChar w:fldCharType="end"/>
      </w:r>
      <w:r w:rsidR="00C36E55">
        <w:t>c shows that the energy as a function of the coverage stays roughly constant up to 0.5ML</w:t>
      </w:r>
      <w:r w:rsidR="00131B23">
        <w:t xml:space="preserve"> and increasing to lower binding energies at higher coverages.</w:t>
      </w:r>
      <w:r w:rsidR="0014105C">
        <w:t xml:space="preserve"> </w:t>
      </w:r>
      <w:r w:rsidR="00026761">
        <w:t xml:space="preserve">Thus, up to 0.5ML of CO may be adsorbed on </w:t>
      </w:r>
      <w:r w:rsidR="001D1E18">
        <w:t>an Au(211) step under atmospheric conditions</w:t>
      </w:r>
      <w:r w:rsidR="00F16BE3">
        <w:t xml:space="preserve">, while there is no coverage of CO on Au(111). </w:t>
      </w:r>
    </w:p>
    <w:p w:rsidR="00660E6C" w:rsidRDefault="00660E6C" w:rsidP="0076289C">
      <w:pPr>
        <w:spacing w:line="480" w:lineRule="auto"/>
        <w:rPr>
          <w:b/>
        </w:rPr>
      </w:pPr>
      <w:r>
        <w:rPr>
          <w:b/>
        </w:rPr>
        <w:br w:type="page"/>
      </w:r>
    </w:p>
    <w:p w:rsidR="00A06E53" w:rsidRDefault="00A80792" w:rsidP="0076289C">
      <w:pPr>
        <w:spacing w:line="480" w:lineRule="auto"/>
        <w:rPr>
          <w:b/>
        </w:rPr>
      </w:pPr>
      <w:r w:rsidRPr="00A80792">
        <w:rPr>
          <w:b/>
        </w:rPr>
        <w:lastRenderedPageBreak/>
        <w:t>CO adsorption in an electrochemical environment</w:t>
      </w:r>
    </w:p>
    <w:p w:rsidR="00A80792" w:rsidRPr="00F51F0F" w:rsidRDefault="00CB33FB" w:rsidP="0076289C">
      <w:pPr>
        <w:spacing w:line="480" w:lineRule="auto"/>
        <w:rPr>
          <w:color w:val="984806" w:themeColor="accent6" w:themeShade="80"/>
        </w:rPr>
      </w:pPr>
      <w:r w:rsidRPr="00F51F0F">
        <w:rPr>
          <w:color w:val="984806" w:themeColor="accent6" w:themeShade="80"/>
        </w:rPr>
        <w:t xml:space="preserve">In the case of polycrystalline </w:t>
      </w:r>
      <w:r w:rsidR="00DF7B6D" w:rsidRPr="00F51F0F">
        <w:rPr>
          <w:color w:val="984806" w:themeColor="accent6" w:themeShade="80"/>
        </w:rPr>
        <w:t>surfaces,</w:t>
      </w:r>
      <w:r w:rsidRPr="00F51F0F">
        <w:rPr>
          <w:color w:val="984806" w:themeColor="accent6" w:themeShade="80"/>
        </w:rPr>
        <w:t xml:space="preserve"> a convolution of deposition on various sites is observed. During Pb deposition, a broad wave corresponding to deposition on stepped surfaces and defects is initially observed. </w:t>
      </w:r>
    </w:p>
    <w:p w:rsidR="00CB33FB" w:rsidRPr="00F51F0F" w:rsidRDefault="00CB33FB" w:rsidP="0076289C">
      <w:pPr>
        <w:spacing w:line="480" w:lineRule="auto"/>
        <w:rPr>
          <w:color w:val="984806" w:themeColor="accent6" w:themeShade="80"/>
        </w:rPr>
      </w:pPr>
      <w:r w:rsidRPr="00F51F0F">
        <w:rPr>
          <w:color w:val="984806" w:themeColor="accent6" w:themeShade="80"/>
        </w:rPr>
        <w:t>&lt; Further explanation of experiment and CO coverages at reducing potentials &gt;</w:t>
      </w:r>
    </w:p>
    <w:p w:rsidR="00A80792" w:rsidRPr="00A80792" w:rsidRDefault="00253D86" w:rsidP="0076289C">
      <w:pPr>
        <w:spacing w:line="480" w:lineRule="auto"/>
      </w:pPr>
      <w:r>
        <w:rPr>
          <w:noProof/>
        </w:rPr>
        <mc:AlternateContent>
          <mc:Choice Requires="wps">
            <w:drawing>
              <wp:anchor distT="0" distB="0" distL="114300" distR="114300" simplePos="0" relativeHeight="251661312" behindDoc="0" locked="0" layoutInCell="1" allowOverlap="1" wp14:anchorId="59F4268A" wp14:editId="06775F0B">
                <wp:simplePos x="0" y="0"/>
                <wp:positionH relativeFrom="column">
                  <wp:posOffset>-32385</wp:posOffset>
                </wp:positionH>
                <wp:positionV relativeFrom="paragraph">
                  <wp:posOffset>3774440</wp:posOffset>
                </wp:positionV>
                <wp:extent cx="5448300" cy="635"/>
                <wp:effectExtent l="0" t="0" r="0" b="12065"/>
                <wp:wrapSquare wrapText="bothSides"/>
                <wp:docPr id="1" name="Text Box 1"/>
                <wp:cNvGraphicFramePr/>
                <a:graphic xmlns:a="http://schemas.openxmlformats.org/drawingml/2006/main">
                  <a:graphicData uri="http://schemas.microsoft.com/office/word/2010/wordprocessingShape">
                    <wps:wsp>
                      <wps:cNvSpPr txBox="1"/>
                      <wps:spPr>
                        <a:xfrm>
                          <a:off x="0" y="0"/>
                          <a:ext cx="5448300" cy="635"/>
                        </a:xfrm>
                        <a:prstGeom prst="rect">
                          <a:avLst/>
                        </a:prstGeom>
                        <a:solidFill>
                          <a:prstClr val="white"/>
                        </a:solidFill>
                        <a:ln>
                          <a:noFill/>
                        </a:ln>
                      </wps:spPr>
                      <wps:txbx>
                        <w:txbxContent>
                          <w:p w:rsidR="00253D86" w:rsidRPr="00872130" w:rsidRDefault="00253D86" w:rsidP="00253D86">
                            <w:pPr>
                              <w:pStyle w:val="Caption"/>
                              <w:jc w:val="center"/>
                              <w:rPr>
                                <w:noProof/>
                                <w:szCs w:val="20"/>
                              </w:rPr>
                            </w:pPr>
                            <w:bookmarkStart w:id="1" w:name="_Ref32138573"/>
                            <w:r>
                              <w:t xml:space="preserve">Figure </w:t>
                            </w:r>
                            <w:fldSimple w:instr=" SEQ Figure \* ARABIC ">
                              <w:r w:rsidR="00AB5B92">
                                <w:rPr>
                                  <w:noProof/>
                                </w:rPr>
                                <w:t>2</w:t>
                              </w:r>
                            </w:fldSimple>
                            <w:bookmarkEnd w:id="1"/>
                            <w:r>
                              <w:t>: Lead UPD &lt; insert more description here &gt;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9F4268A" id="_x0000_t202" coordsize="21600,21600" o:spt="202" path="m,l,21600r21600,l21600,xe">
                <v:stroke joinstyle="miter"/>
                <v:path gradientshapeok="t" o:connecttype="rect"/>
              </v:shapetype>
              <v:shape id="Text Box 1" o:spid="_x0000_s1026" type="#_x0000_t202" style="position:absolute;left:0;text-align:left;margin-left:-2.55pt;margin-top:297.2pt;width:429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" stroked="f">
                <v:textbox style="mso-fit-shape-to-text:t" inset="0,0,0,0">
                  <w:txbxContent>
                    <w:p w:rsidR="00253D86" w:rsidRPr="00872130" w:rsidRDefault="00253D86" w:rsidP="00253D86">
                      <w:pPr>
                        <w:pStyle w:val="Caption"/>
                        <w:jc w:val="center"/>
                        <w:rPr>
                          <w:noProof/>
                          <w:szCs w:val="20"/>
                        </w:rPr>
                      </w:pPr>
                      <w:bookmarkStart w:id="3" w:name="_Ref32138573"/>
                      <w:r>
                        <w:t xml:space="preserve">Figure </w:t>
                      </w:r>
                      <w:r w:rsidR="00AD6453">
                        <w:fldChar w:fldCharType="begin"/>
                      </w:r>
                      <w:r w:rsidR="00AD6453">
                        <w:instrText xml:space="preserve"> SEQ Figure \* ARABIC </w:instrText>
                      </w:r>
                      <w:r w:rsidR="00AD6453">
                        <w:fldChar w:fldCharType="separate"/>
                      </w:r>
                      <w:r w:rsidR="00AB5B92">
                        <w:rPr>
                          <w:noProof/>
                        </w:rPr>
                        <w:t>2</w:t>
                      </w:r>
                      <w:r w:rsidR="00AD6453">
                        <w:rPr>
                          <w:noProof/>
                        </w:rPr>
                        <w:fldChar w:fldCharType="end"/>
                      </w:r>
                      <w:bookmarkEnd w:id="3"/>
                      <w:r>
                        <w:t>: Lead UPD &lt; insert more description here &gt;</w:t>
                      </w:r>
                    </w:p>
                  </w:txbxContent>
                </v:textbox>
                <w10:wrap type="square"/>
              </v:shape>
            </w:pict>
          </mc:Fallback>
        </mc:AlternateContent>
      </w:r>
      <w:r w:rsidR="00A80792" w:rsidRPr="000A1846">
        <w:rPr>
          <w:noProof/>
        </w:rPr>
        <w:drawing>
          <wp:anchor distT="0" distB="0" distL="114300" distR="114300" simplePos="0" relativeHeight="251659264" behindDoc="0" locked="0" layoutInCell="1" allowOverlap="1" wp14:anchorId="74D50805" wp14:editId="2BA1A9BE">
            <wp:simplePos x="0" y="0"/>
            <wp:positionH relativeFrom="column">
              <wp:posOffset>-32657</wp:posOffset>
            </wp:positionH>
            <wp:positionV relativeFrom="paragraph">
              <wp:posOffset>478790</wp:posOffset>
            </wp:positionV>
            <wp:extent cx="5448300" cy="3238500"/>
            <wp:effectExtent l="0" t="0" r="0" b="0"/>
            <wp:wrapSquare wrapText="bothSides"/>
            <wp:docPr id="10" name="Picture 10" descr="C:\Users\tvhogg\Dropbox\Uni\PhD Thesis\figs\IR_Au_Pb_specs_ints_js_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vhogg\Dropbox\Uni\PhD Thesis\figs\IR_Au_Pb_specs_ints_js_full.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48300" cy="3238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16BE3" w:rsidRPr="00AA6FD7" w:rsidRDefault="00F16BE3" w:rsidP="0076289C">
      <w:pPr>
        <w:spacing w:line="480" w:lineRule="auto"/>
      </w:pPr>
    </w:p>
    <w:p w:rsidR="00AA6FD7" w:rsidRDefault="00AA6FD7" w:rsidP="009A7319">
      <w:pPr>
        <w:spacing w:line="480" w:lineRule="auto"/>
      </w:pPr>
    </w:p>
    <w:p w:rsidR="001769AD" w:rsidRDefault="001769AD" w:rsidP="009A7319">
      <w:pPr>
        <w:spacing w:line="480" w:lineRule="auto"/>
      </w:pPr>
    </w:p>
    <w:p w:rsidR="001769AD" w:rsidRDefault="001769AD" w:rsidP="009A7319">
      <w:pPr>
        <w:spacing w:line="480" w:lineRule="auto"/>
      </w:pPr>
    </w:p>
    <w:p w:rsidR="001769AD" w:rsidRDefault="001769AD" w:rsidP="009A7319">
      <w:pPr>
        <w:spacing w:line="480" w:lineRule="auto"/>
      </w:pPr>
    </w:p>
    <w:p w:rsidR="001769AD" w:rsidRDefault="001769AD" w:rsidP="009A7319">
      <w:pPr>
        <w:spacing w:line="480" w:lineRule="auto"/>
      </w:pPr>
    </w:p>
    <w:p w:rsidR="009B721A" w:rsidRDefault="009B721A" w:rsidP="009A7319">
      <w:pPr>
        <w:spacing w:line="480" w:lineRule="auto"/>
      </w:pPr>
    </w:p>
    <w:p w:rsidR="00BD3387" w:rsidRDefault="00100C71" w:rsidP="009A7319">
      <w:pPr>
        <w:spacing w:line="480" w:lineRule="auto"/>
      </w:pPr>
      <w:r>
        <w:t xml:space="preserve">To determine the </w:t>
      </w:r>
      <w:r w:rsidR="00BD4D40">
        <w:t xml:space="preserve">surface </w:t>
      </w:r>
      <w:r>
        <w:t>facet that binds Pb strongest, we carry out a surface Pourbaix analysis</w:t>
      </w:r>
      <w:r w:rsidR="00BD4D40">
        <w:t>. We choose three prototype gold surfaces – 111 and 100 terraces and a 211</w:t>
      </w:r>
      <w:r w:rsidR="00A835CB">
        <w:t xml:space="preserve"> </w:t>
      </w:r>
      <w:r w:rsidR="00BD4D40">
        <w:t xml:space="preserve">step site. </w:t>
      </w:r>
      <w:r w:rsidR="00922330">
        <w:t>Pb adsorption energies were calculated on a</w:t>
      </w:r>
      <w:r w:rsidR="00BD4D40">
        <w:t xml:space="preserve">ll </w:t>
      </w:r>
      <w:r w:rsidR="00922330">
        <w:t xml:space="preserve">possible </w:t>
      </w:r>
      <w:r w:rsidR="00BD4D40">
        <w:t>adsorption sites</w:t>
      </w:r>
      <w:r w:rsidR="00922330">
        <w:t xml:space="preserve"> </w:t>
      </w:r>
      <w:r w:rsidR="00BD4D40">
        <w:t>to determine the most</w:t>
      </w:r>
      <w:r w:rsidR="00F93B7E">
        <w:t xml:space="preserve"> </w:t>
      </w:r>
      <w:r w:rsidR="004F2C83">
        <w:lastRenderedPageBreak/>
        <w:t>favorable</w:t>
      </w:r>
      <w:r w:rsidR="00F93B7E">
        <w:t xml:space="preserve"> stat</w:t>
      </w:r>
      <w:r w:rsidR="008C3A7A">
        <w:t>e</w:t>
      </w:r>
      <w:r w:rsidR="00F93B7E">
        <w:t xml:space="preserve">. </w:t>
      </w:r>
      <w:r w:rsidR="00BD3387">
        <w:t xml:space="preserve">The adsorbed Pb can be referenced to the corresponding </w:t>
      </w:r>
      <m:oMath>
        <m:r>
          <w:rPr>
            <w:rFonts w:ascii="Cambria Math" w:hAnsi="Cambria Math"/>
          </w:rPr>
          <m:t>P</m:t>
        </m:r>
        <m:sSup>
          <m:sSupPr>
            <m:ctrlPr>
              <w:rPr>
                <w:rFonts w:ascii="Cambria Math" w:hAnsi="Cambria Math"/>
                <w:i/>
              </w:rPr>
            </m:ctrlPr>
          </m:sSupPr>
          <m:e>
            <m:r>
              <w:rPr>
                <w:rFonts w:ascii="Cambria Math" w:hAnsi="Cambria Math"/>
              </w:rPr>
              <m:t>b</m:t>
            </m:r>
          </m:e>
          <m:sup>
            <m:r>
              <w:rPr>
                <w:rFonts w:ascii="Cambria Math" w:hAnsi="Cambria Math"/>
              </w:rPr>
              <m:t>2+</m:t>
            </m:r>
          </m:sup>
        </m:sSup>
      </m:oMath>
      <w:r w:rsidR="00BD3387">
        <w:t xml:space="preserve"> ion using the standard reduction potential of </w:t>
      </w:r>
      <m:oMath>
        <m:r>
          <w:rPr>
            <w:rFonts w:ascii="Cambria Math" w:hAnsi="Cambria Math"/>
          </w:rPr>
          <m:t>Pb|P</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oMath>
      <w:r w:rsidR="00BD3387">
        <w:t xml:space="preserve"> Thus, the overall reaction for </w:t>
      </w:r>
      <w:r w:rsidR="000E00E0">
        <w:t>the adsorption of</w:t>
      </w:r>
      <w:r w:rsidR="00BD3387">
        <w:t xml:space="preserve"> lead is</w:t>
      </w:r>
    </w:p>
    <w:p w:rsidR="00BD3387" w:rsidRDefault="00BD3387" w:rsidP="009A7319">
      <w:pPr>
        <w:spacing w:line="480" w:lineRule="auto"/>
      </w:pPr>
      <m:oMathPara>
        <m:oMath>
          <m:r>
            <w:rPr>
              <w:rFonts w:ascii="Cambria Math" w:hAnsi="Cambria Math"/>
            </w:rPr>
            <m:t>P</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↔P</m:t>
          </m:r>
          <m:sSup>
            <m:sSupPr>
              <m:ctrlPr>
                <w:rPr>
                  <w:rFonts w:ascii="Cambria Math" w:hAnsi="Cambria Math"/>
                  <w:i/>
                </w:rPr>
              </m:ctrlPr>
            </m:sSupPr>
            <m:e>
              <m:r>
                <w:rPr>
                  <w:rFonts w:ascii="Cambria Math" w:hAnsi="Cambria Math"/>
                </w:rPr>
                <m:t>b</m:t>
              </m:r>
            </m:e>
            <m:sup>
              <m:r>
                <w:rPr>
                  <w:rFonts w:ascii="Cambria Math" w:hAnsi="Cambria Math"/>
                </w:rPr>
                <m:t>*</m:t>
              </m:r>
            </m:sup>
          </m:sSup>
        </m:oMath>
      </m:oMathPara>
    </w:p>
    <w:p w:rsidR="002B0CFD" w:rsidRDefault="002B0CFD" w:rsidP="002B0CFD">
      <w:pPr>
        <w:keepNext/>
        <w:spacing w:line="480" w:lineRule="auto"/>
      </w:pPr>
      <w:r>
        <w:rPr>
          <w:noProof/>
        </w:rPr>
        <w:drawing>
          <wp:inline distT="0" distB="0" distL="0" distR="0">
            <wp:extent cx="5943600" cy="12382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2.pdf"/>
                    <pic:cNvPicPr/>
                  </pic:nvPicPr>
                  <pic:blipFill>
                    <a:blip r:embed="rId10"/>
                    <a:stretch>
                      <a:fillRect/>
                    </a:stretch>
                  </pic:blipFill>
                  <pic:spPr>
                    <a:xfrm>
                      <a:off x="0" y="0"/>
                      <a:ext cx="5943600" cy="1238250"/>
                    </a:xfrm>
                    <a:prstGeom prst="rect">
                      <a:avLst/>
                    </a:prstGeom>
                  </pic:spPr>
                </pic:pic>
              </a:graphicData>
            </a:graphic>
          </wp:inline>
        </w:drawing>
      </w:r>
    </w:p>
    <w:p w:rsidR="00BD3387" w:rsidRDefault="002B0CFD" w:rsidP="002B0CFD">
      <w:pPr>
        <w:pStyle w:val="Caption"/>
        <w:jc w:val="center"/>
      </w:pPr>
      <w:bookmarkStart w:id="2" w:name="_Ref32137406"/>
      <w:r>
        <w:t xml:space="preserve">Figure </w:t>
      </w:r>
      <w:fldSimple w:instr=" SEQ Figure \* ARABIC ">
        <w:r w:rsidR="00AB5B92">
          <w:rPr>
            <w:noProof/>
          </w:rPr>
          <w:t>3</w:t>
        </w:r>
      </w:fldSimple>
      <w:bookmarkEnd w:id="2"/>
      <w:r>
        <w:t>: Surface Pourbaix diagram showing the coverage of Pb at different potentials</w:t>
      </w:r>
    </w:p>
    <w:p w:rsidR="00756F13" w:rsidRDefault="009B182F" w:rsidP="00E63F9A">
      <w:pPr>
        <w:spacing w:line="480" w:lineRule="auto"/>
      </w:pPr>
      <w:r>
        <w:t>T</w:t>
      </w:r>
      <w:r w:rsidR="00756F13">
        <w:t xml:space="preserve">he free energy for </w:t>
      </w:r>
      <w:r w:rsidR="00083760">
        <w:t>this reaction can be determined</w:t>
      </w:r>
      <w:r w:rsidR="00756F13">
        <w:t xml:space="preserve"> as a function of potential </w:t>
      </w:r>
      <w:r w:rsidR="006C63F7">
        <w:t xml:space="preserve">at a given surface coverage </w:t>
      </w:r>
      <w:r w:rsidR="00756F13">
        <w:t xml:space="preserve">as </w:t>
      </w:r>
    </w:p>
    <w:p w:rsidR="00756F13" w:rsidRPr="00AD1CF1" w:rsidRDefault="00C045DE" w:rsidP="00E63F9A">
      <w:pPr>
        <w:spacing w:line="480" w:lineRule="auto"/>
      </w:pPr>
      <m:oMathPara>
        <m:oMath>
          <m:eqArr>
            <m:eqArrPr>
              <m:maxDist m:val="1"/>
              <m:ctrlPr>
                <w:rPr>
                  <w:rFonts w:ascii="Cambria Math" w:hAnsi="Cambria Math"/>
                  <w:i/>
                </w:rPr>
              </m:ctrlPr>
            </m:eqArrPr>
            <m:e>
              <m:r>
                <m:rPr>
                  <m:sty m:val="p"/>
                </m:rPr>
                <w:rPr>
                  <w:rFonts w:ascii="Cambria Math" w:hAnsi="Cambria Math"/>
                </w:rPr>
                <m:t>Δ</m:t>
              </m:r>
              <m:sSub>
                <m:sSubPr>
                  <m:ctrlPr>
                    <w:rPr>
                      <w:rFonts w:ascii="Cambria Math" w:hAnsi="Cambria Math"/>
                      <w:i/>
                    </w:rPr>
                  </m:ctrlPr>
                </m:sSubPr>
                <m:e>
                  <m:r>
                    <w:rPr>
                      <w:rFonts w:ascii="Cambria Math" w:hAnsi="Cambria Math"/>
                    </w:rPr>
                    <m:t>G</m:t>
                  </m:r>
                </m:e>
                <m:sub>
                  <m:r>
                    <w:rPr>
                      <w:rFonts w:ascii="Cambria Math" w:hAnsi="Cambria Math"/>
                    </w:rPr>
                    <m:t>θ</m:t>
                  </m:r>
                </m:sub>
              </m:sSub>
              <m:r>
                <w:rPr>
                  <w:rFonts w:ascii="Cambria Math" w:hAnsi="Cambria Math"/>
                </w:rPr>
                <m:t>=</m:t>
              </m:r>
              <m:r>
                <m:rPr>
                  <m:sty m:val="p"/>
                </m:rPr>
                <w:rPr>
                  <w:rFonts w:ascii="Cambria Math" w:hAnsi="Cambria Math"/>
                </w:rPr>
                <m:t>Δ</m:t>
              </m:r>
              <m:sSubSup>
                <m:sSubSupPr>
                  <m:ctrlPr>
                    <w:rPr>
                      <w:rFonts w:ascii="Cambria Math" w:hAnsi="Cambria Math"/>
                      <w:i/>
                    </w:rPr>
                  </m:ctrlPr>
                </m:sSubSupPr>
                <m:e>
                  <m:r>
                    <w:rPr>
                      <w:rFonts w:ascii="Cambria Math" w:hAnsi="Cambria Math"/>
                    </w:rPr>
                    <m:t>G</m:t>
                  </m:r>
                </m:e>
                <m:sub>
                  <m:r>
                    <w:rPr>
                      <w:rFonts w:ascii="Cambria Math" w:hAnsi="Cambria Math"/>
                    </w:rPr>
                    <m:t>θ</m:t>
                  </m:r>
                </m:sub>
                <m:sup>
                  <m:r>
                    <w:rPr>
                      <w:rFonts w:ascii="Cambria Math" w:hAnsi="Cambria Math"/>
                    </w:rPr>
                    <m:t>0</m:t>
                  </m:r>
                </m:sup>
              </m:sSubSup>
              <m:r>
                <w:rPr>
                  <w:rFonts w:ascii="Cambria Math" w:hAnsi="Cambria Math"/>
                </w:rPr>
                <m:t>-</m:t>
              </m:r>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n</m:t>
                      </m:r>
                    </m:e>
                    <m:sub>
                      <m:r>
                        <w:rPr>
                          <w:rFonts w:ascii="Cambria Math" w:hAnsi="Cambria Math"/>
                        </w:rPr>
                        <m:t>Pb</m:t>
                      </m:r>
                    </m:sub>
                  </m:sSub>
                </m:den>
              </m:f>
              <m:r>
                <w:rPr>
                  <w:rFonts w:ascii="Cambria Math" w:hAnsi="Cambria Math"/>
                </w:rPr>
                <m:t>e</m:t>
              </m:r>
              <m:sSub>
                <m:sSubPr>
                  <m:ctrlPr>
                    <w:rPr>
                      <w:rFonts w:ascii="Cambria Math" w:hAnsi="Cambria Math"/>
                      <w:i/>
                    </w:rPr>
                  </m:ctrlPr>
                </m:sSubPr>
                <m:e>
                  <m:r>
                    <w:rPr>
                      <w:rFonts w:ascii="Cambria Math" w:hAnsi="Cambria Math"/>
                    </w:rPr>
                    <m:t>U</m:t>
                  </m:r>
                </m:e>
                <m:sub>
                  <m:r>
                    <w:rPr>
                      <w:rFonts w:ascii="Cambria Math" w:hAnsi="Cambria Math"/>
                    </w:rPr>
                    <m:t>SHE</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Pb|P</m:t>
                  </m:r>
                  <m:sSup>
                    <m:sSupPr>
                      <m:ctrlPr>
                        <w:rPr>
                          <w:rFonts w:ascii="Cambria Math" w:hAnsi="Cambria Math"/>
                          <w:i/>
                        </w:rPr>
                      </m:ctrlPr>
                    </m:sSupPr>
                    <m:e>
                      <m:r>
                        <w:rPr>
                          <w:rFonts w:ascii="Cambria Math" w:hAnsi="Cambria Math"/>
                        </w:rPr>
                        <m:t>b</m:t>
                      </m:r>
                    </m:e>
                    <m:sup>
                      <m:r>
                        <w:rPr>
                          <w:rFonts w:ascii="Cambria Math" w:hAnsi="Cambria Math"/>
                        </w:rPr>
                        <m:t>2+</m:t>
                      </m:r>
                    </m:sup>
                  </m:sSup>
                  <m:r>
                    <m:rPr>
                      <m:sty m:val="p"/>
                    </m:rPr>
                    <w:rPr>
                      <w:rFonts w:ascii="Cambria Math" w:hAnsi="Cambria Math"/>
                    </w:rPr>
                    <m:t xml:space="preserve"> </m:t>
                  </m:r>
                </m:sub>
              </m:sSub>
              <m:r>
                <w:rPr>
                  <w:rFonts w:ascii="Cambria Math" w:hAnsi="Cambria Math"/>
                </w:rPr>
                <m:t>#</m:t>
              </m:r>
              <m:d>
                <m:dPr>
                  <m:ctrlPr>
                    <w:rPr>
                      <w:rFonts w:ascii="Cambria Math" w:hAnsi="Cambria Math"/>
                      <w:i/>
                    </w:rPr>
                  </m:ctrlPr>
                </m:dPr>
                <m:e>
                  <m:r>
                    <w:rPr>
                      <w:rFonts w:ascii="Cambria Math" w:hAnsi="Cambria Math"/>
                    </w:rPr>
                    <m:t>4</m:t>
                  </m:r>
                </m:e>
              </m:d>
            </m:e>
          </m:eqArr>
        </m:oMath>
      </m:oMathPara>
    </w:p>
    <w:p w:rsidR="00AD1CF1" w:rsidRPr="00AD1CF1" w:rsidRDefault="00AD1CF1" w:rsidP="00E63F9A">
      <w:pPr>
        <w:spacing w:line="480" w:lineRule="auto"/>
      </w:pPr>
    </w:p>
    <w:p w:rsidR="006C63F7" w:rsidRDefault="006C63F7" w:rsidP="00E63F9A">
      <w:pPr>
        <w:spacing w:line="480" w:lineRule="auto"/>
      </w:pPr>
      <w:r>
        <w:t xml:space="preserve">Where </w:t>
      </w:r>
      <m:oMath>
        <m:r>
          <m:rPr>
            <m:sty m:val="p"/>
          </m:rPr>
          <w:rPr>
            <w:rFonts w:ascii="Cambria Math" w:hAnsi="Cambria Math"/>
          </w:rPr>
          <m:t>Δ</m:t>
        </m:r>
        <m:sSubSup>
          <m:sSubSupPr>
            <m:ctrlPr>
              <w:rPr>
                <w:rFonts w:ascii="Cambria Math" w:hAnsi="Cambria Math"/>
                <w:i/>
              </w:rPr>
            </m:ctrlPr>
          </m:sSubSupPr>
          <m:e>
            <m:r>
              <w:rPr>
                <w:rFonts w:ascii="Cambria Math" w:hAnsi="Cambria Math"/>
              </w:rPr>
              <m:t>G</m:t>
            </m:r>
          </m:e>
          <m:sub>
            <m:r>
              <w:rPr>
                <w:rFonts w:ascii="Cambria Math" w:hAnsi="Cambria Math"/>
              </w:rPr>
              <m:t>θ</m:t>
            </m:r>
          </m:sub>
          <m:sup>
            <m:r>
              <w:rPr>
                <w:rFonts w:ascii="Cambria Math" w:hAnsi="Cambria Math"/>
              </w:rPr>
              <m:t>0</m:t>
            </m:r>
          </m:sup>
        </m:sSubSup>
      </m:oMath>
      <w:r>
        <w:t xml:space="preserve"> is the free energy referenced to </w:t>
      </w:r>
      <m:oMath>
        <m:r>
          <w:rPr>
            <w:rFonts w:ascii="Cambria Math" w:hAnsi="Cambria Math"/>
          </w:rPr>
          <m:t xml:space="preserve">0V vs. </m:t>
        </m:r>
        <m:sSub>
          <m:sSubPr>
            <m:ctrlPr>
              <w:rPr>
                <w:rFonts w:ascii="Cambria Math" w:hAnsi="Cambria Math"/>
                <w:i/>
              </w:rPr>
            </m:ctrlPr>
          </m:sSubPr>
          <m:e>
            <m:r>
              <w:rPr>
                <w:rFonts w:ascii="Cambria Math" w:hAnsi="Cambria Math"/>
              </w:rPr>
              <m:t>U</m:t>
            </m:r>
          </m:e>
          <m:sub>
            <m:r>
              <w:rPr>
                <w:rFonts w:ascii="Cambria Math" w:hAnsi="Cambria Math"/>
              </w:rPr>
              <m:t>Pb|P</m:t>
            </m:r>
            <m:sSup>
              <m:sSupPr>
                <m:ctrlPr>
                  <w:rPr>
                    <w:rFonts w:ascii="Cambria Math" w:hAnsi="Cambria Math"/>
                    <w:i/>
                  </w:rPr>
                </m:ctrlPr>
              </m:sSupPr>
              <m:e>
                <m:r>
                  <w:rPr>
                    <w:rFonts w:ascii="Cambria Math" w:hAnsi="Cambria Math"/>
                  </w:rPr>
                  <m:t>b</m:t>
                </m:r>
              </m:e>
              <m:sup>
                <m:r>
                  <w:rPr>
                    <w:rFonts w:ascii="Cambria Math" w:hAnsi="Cambria Math"/>
                  </w:rPr>
                  <m:t>2+</m:t>
                </m:r>
              </m:sup>
            </m:sSup>
          </m:sub>
        </m:sSub>
      </m:oMath>
      <w:r>
        <w:t xml:space="preserve">, </w:t>
      </w:r>
      <m:oMath>
        <m:sSub>
          <m:sSubPr>
            <m:ctrlPr>
              <w:rPr>
                <w:rFonts w:ascii="Cambria Math" w:hAnsi="Cambria Math"/>
                <w:i/>
              </w:rPr>
            </m:ctrlPr>
          </m:sSubPr>
          <m:e>
            <m:r>
              <w:rPr>
                <w:rFonts w:ascii="Cambria Math" w:hAnsi="Cambria Math"/>
              </w:rPr>
              <m:t>U</m:t>
            </m:r>
          </m:e>
          <m:sub>
            <m:r>
              <w:rPr>
                <w:rFonts w:ascii="Cambria Math" w:hAnsi="Cambria Math"/>
              </w:rPr>
              <m:t>SHE</m:t>
            </m:r>
          </m:sub>
        </m:sSub>
      </m:oMath>
      <w:r>
        <w:t xml:space="preserve"> is the potential referenced to the standard hydrogen electrode and </w:t>
      </w:r>
      <m:oMath>
        <m:sSub>
          <m:sSubPr>
            <m:ctrlPr>
              <w:rPr>
                <w:rFonts w:ascii="Cambria Math" w:hAnsi="Cambria Math"/>
                <w:i/>
              </w:rPr>
            </m:ctrlPr>
          </m:sSubPr>
          <m:e>
            <m:r>
              <w:rPr>
                <w:rFonts w:ascii="Cambria Math" w:hAnsi="Cambria Math"/>
              </w:rPr>
              <m:t>U</m:t>
            </m:r>
          </m:e>
          <m:sub>
            <m:r>
              <w:rPr>
                <w:rFonts w:ascii="Cambria Math" w:hAnsi="Cambria Math"/>
              </w:rPr>
              <m:t>Pb|P</m:t>
            </m:r>
            <m:sSup>
              <m:sSupPr>
                <m:ctrlPr>
                  <w:rPr>
                    <w:rFonts w:ascii="Cambria Math" w:hAnsi="Cambria Math"/>
                    <w:i/>
                  </w:rPr>
                </m:ctrlPr>
              </m:sSupPr>
              <m:e>
                <m:r>
                  <w:rPr>
                    <w:rFonts w:ascii="Cambria Math" w:hAnsi="Cambria Math"/>
                  </w:rPr>
                  <m:t>b</m:t>
                </m:r>
              </m:e>
              <m:sup>
                <m:r>
                  <w:rPr>
                    <w:rFonts w:ascii="Cambria Math" w:hAnsi="Cambria Math"/>
                  </w:rPr>
                  <m:t>2+</m:t>
                </m:r>
              </m:sup>
            </m:sSup>
          </m:sub>
        </m:sSub>
        <m:r>
          <w:rPr>
            <w:rFonts w:ascii="Cambria Math" w:hAnsi="Cambria Math"/>
          </w:rPr>
          <m:t xml:space="preserve"> </m:t>
        </m:r>
      </m:oMath>
      <w:r>
        <w:t xml:space="preserve">is the standard redox potential of </w:t>
      </w:r>
      <m:oMath>
        <m:r>
          <w:rPr>
            <w:rFonts w:ascii="Cambria Math" w:hAnsi="Cambria Math"/>
          </w:rPr>
          <m:t>Pb|P</m:t>
        </m:r>
        <m:sSup>
          <m:sSupPr>
            <m:ctrlPr>
              <w:rPr>
                <w:rFonts w:ascii="Cambria Math" w:hAnsi="Cambria Math"/>
                <w:i/>
              </w:rPr>
            </m:ctrlPr>
          </m:sSupPr>
          <m:e>
            <m:r>
              <w:rPr>
                <w:rFonts w:ascii="Cambria Math" w:hAnsi="Cambria Math"/>
              </w:rPr>
              <m:t>b</m:t>
            </m:r>
          </m:e>
          <m:sup>
            <m:r>
              <w:rPr>
                <w:rFonts w:ascii="Cambria Math" w:hAnsi="Cambria Math"/>
              </w:rPr>
              <m:t>2+</m:t>
            </m:r>
          </m:sup>
        </m:sSup>
      </m:oMath>
      <w:r w:rsidR="00F06741">
        <w:t xml:space="preserve"> </w:t>
      </w:r>
      <m:oMath>
        <m:sSub>
          <m:sSubPr>
            <m:ctrlPr>
              <w:rPr>
                <w:rFonts w:ascii="Cambria Math" w:hAnsi="Cambria Math"/>
                <w:i/>
              </w:rPr>
            </m:ctrlPr>
          </m:sSubPr>
          <m:e>
            <m:r>
              <w:rPr>
                <w:rFonts w:ascii="Cambria Math" w:hAnsi="Cambria Math"/>
              </w:rPr>
              <m:t>n</m:t>
            </m:r>
          </m:e>
          <m:sub>
            <m:r>
              <w:rPr>
                <w:rFonts w:ascii="Cambria Math" w:hAnsi="Cambria Math"/>
              </w:rPr>
              <m:t>pb</m:t>
            </m:r>
          </m:sub>
        </m:sSub>
      </m:oMath>
      <w:r w:rsidR="00F06741">
        <w:t xml:space="preserve"> is the normalization factor to ensure that </w:t>
      </w:r>
      <w:r w:rsidR="00527896">
        <w:t>two electrons are transferred for every Pb atom.</w:t>
      </w:r>
    </w:p>
    <w:p w:rsidR="002B0CFD" w:rsidRDefault="002B0CFD" w:rsidP="00E63F9A">
      <w:pPr>
        <w:spacing w:line="480" w:lineRule="auto"/>
      </w:pPr>
      <w:r>
        <w:fldChar w:fldCharType="begin"/>
      </w:r>
      <w:r>
        <w:instrText xml:space="preserve"> REF _Ref32137406 \h </w:instrText>
      </w:r>
      <w:r w:rsidR="00E63F9A">
        <w:instrText xml:space="preserve"> \* MERGEFORMAT </w:instrText>
      </w:r>
      <w:r>
        <w:fldChar w:fldCharType="separate"/>
      </w:r>
      <w:r>
        <w:t xml:space="preserve">Figure </w:t>
      </w:r>
      <w:r>
        <w:rPr>
          <w:noProof/>
        </w:rPr>
        <w:t>3</w:t>
      </w:r>
      <w:r>
        <w:fldChar w:fldCharType="end"/>
      </w:r>
      <w:r>
        <w:t xml:space="preserve"> shows the surface Pourbaix diagram for different coverages of Pb adsorbed on the three different surface facets of Au. </w:t>
      </w:r>
      <w:r w:rsidR="00A868BE">
        <w:t xml:space="preserve">Au(111) has the lowest coverage of </w:t>
      </w:r>
      <w:r w:rsidR="009D02DC">
        <w:t xml:space="preserve">Pb at any potential range, </w:t>
      </w:r>
      <w:r w:rsidR="00E56F0C">
        <w:t xml:space="preserve">followed by Au(100) and Au(211) respectively. </w:t>
      </w:r>
      <w:r w:rsidR="00F65921">
        <w:t>This</w:t>
      </w:r>
      <w:r w:rsidR="0058709B">
        <w:t xml:space="preserve"> </w:t>
      </w:r>
      <w:r w:rsidR="0003542F">
        <w:t>facet dependency</w:t>
      </w:r>
      <w:r w:rsidR="00F65921">
        <w:t xml:space="preserve"> implies that the surface would be covered by Pb at more positive potential</w:t>
      </w:r>
      <w:r w:rsidR="00A53E56">
        <w:t>s</w:t>
      </w:r>
      <w:r w:rsidR="00F65921">
        <w:t xml:space="preserve"> for a step site like 211, as opposed to a </w:t>
      </w:r>
      <w:r w:rsidR="00F65921">
        <w:lastRenderedPageBreak/>
        <w:t xml:space="preserve">terrace site of 111. </w:t>
      </w:r>
      <w:r w:rsidR="00336950">
        <w:t xml:space="preserve">This </w:t>
      </w:r>
      <w:r w:rsidR="00965F40">
        <w:t xml:space="preserve">result </w:t>
      </w:r>
      <w:r w:rsidR="00336950">
        <w:t>agrees with previous</w:t>
      </w:r>
      <w:r w:rsidR="000334CB">
        <w:t xml:space="preserve"> studies of </w:t>
      </w:r>
      <w:r w:rsidR="00336950">
        <w:t xml:space="preserve">current voltammograms for Pb UPD on different </w:t>
      </w:r>
      <w:r w:rsidR="008B1D20">
        <w:t xml:space="preserve">single crystal </w:t>
      </w:r>
      <w:r w:rsidR="00336950">
        <w:t xml:space="preserve">surface </w:t>
      </w:r>
      <w:r w:rsidR="00CA6299">
        <w:t>facets</w:t>
      </w:r>
      <w:r w:rsidR="00FA65CF">
        <w:rPr>
          <w:rStyle w:val="FootnoteReference"/>
        </w:rPr>
        <w:fldChar w:fldCharType="begin" w:fldLock="1"/>
      </w:r>
      <w:r w:rsidR="00FA65CF">
        <w:instrText>ADDIN CSL_CITATION {"citationItems":[{"id":"ITEM-1","itemData":{"abstract":"The structure sensitivity of CO adsorption on different flat, stepped, kinked and reconstructed Pt surfaces is studied using large-scale density-functional calculations. We find an extremely strong structure sensitivity in the adsorption energy with variations up to 1 eV (or 100%) from one structure to the next. We propose a model to explain this behavior, and use it to discuss more generally the origin of structure sensitivity in heterogeneous catalysis. Many catalytic reactions are structure sensitive ^ the rate depends on the detailed geometrical structure of the surface atoms of the catalyst [1,2]. Structure sensitivity usually manifests itself as a dependence of the rate per surface atom on the average size of the catalyst particles. The understanding is that for particle diameters d ` 100 Ð the relative number of step and kink sites increases dramatically with decreasing d, and these very under-coordinated surface atoms could have a substantially different ability to interact with molecules from the gas phase. Structure sensitivity may reflect a variation in the intrinsic ability of the surface atoms to participate in surface chemistry thèèlectronic'' or``or``ligand'' effect), or it may be related to the availability of a certain number of surface atoms in special geometrical arrangements of importance for the interaction with the reactants (thèènsemble'' effect). In the present letter we concentrate on the intrinsic effect by studying the adsorption of a test molecule, CO, which binds to only a single atom on many metal surfaces. Structure sensitivity for CO adsorption on small Pd particles has been demonstrated by Henry et al. [3], who showed the average CO chem-isorption energy to increase strongly with decreasing particle size. Similarly, several experimental investigations [4^7] of CO on stepped Pt(111) surfaces have shown clear evidence of new step-induced adsorption features with larger binding energies relative to CO on the flat terraces. In spite of the importance of structure sensitivity in catalysis and the extensive experimental interest, there is no detailed atomistic understanding of the phenomenon. We discuss in the following the bonding of CO to steps and other defects on Pt surfaces on the basis of a series of first-principles density-functional calculations. We find that the CO adsorption energy is 0.7 eV larger at a step on a Pt(111) surface than on the flat terraces. Further, we compare CO adsorption on steps with adsorption on…","author":[{"dropping-particle":"","family":"Hammer","given":"B","non-dropping-particle":"","parse-names":false,"suffix":""},{"dropping-particle":"","family":"Nielsen","given":"O H","non-dropping-particle":"","parse-names":false,"suffix":""}],"id":"ITEM-1","issued":{"date-parts":[["0"]]},"title":"Structure sensitivity in adsorption: CO interaction with stepped and reconstructed Pt surfaces","type":"report"},"uris":["http://www.mendeley.com/documents/?uuid=9d47f19b-6247-3bdb-9ad2-ecbb551f108f"]}],"mendeley":{"formattedCitation":"&lt;sup&gt;8&lt;/sup&gt;","plainTextFormattedCitation":"8"},"properties":{"noteIndex":0},"schema":"https://github.com/citation-style-language/schema/raw/master/csl-citation.json"}</w:instrText>
      </w:r>
      <w:r w:rsidR="00FA65CF">
        <w:rPr>
          <w:rStyle w:val="FootnoteReference"/>
        </w:rPr>
        <w:fldChar w:fldCharType="separate"/>
      </w:r>
      <w:r w:rsidR="00FA65CF" w:rsidRPr="00FA65CF">
        <w:rPr>
          <w:noProof/>
          <w:vertAlign w:val="superscript"/>
        </w:rPr>
        <w:t>8</w:t>
      </w:r>
      <w:r w:rsidR="00FA65CF">
        <w:rPr>
          <w:rStyle w:val="FootnoteReference"/>
        </w:rPr>
        <w:fldChar w:fldCharType="end"/>
      </w:r>
      <w:r w:rsidR="00336950">
        <w:t xml:space="preserve">. </w:t>
      </w:r>
    </w:p>
    <w:p w:rsidR="00336950" w:rsidRDefault="00A43CC9" w:rsidP="00E63F9A">
      <w:pPr>
        <w:spacing w:line="480" w:lineRule="auto"/>
      </w:pPr>
      <w:r>
        <w:fldChar w:fldCharType="begin"/>
      </w:r>
      <w:r>
        <w:instrText xml:space="preserve"> REF _Ref32137406 \h  \* MERGEFORMAT </w:instrText>
      </w:r>
      <w:r>
        <w:fldChar w:fldCharType="separate"/>
      </w:r>
      <w:r>
        <w:t xml:space="preserve">Figure </w:t>
      </w:r>
      <w:r>
        <w:rPr>
          <w:noProof/>
        </w:rPr>
        <w:t>3</w:t>
      </w:r>
      <w:r>
        <w:fldChar w:fldCharType="end"/>
      </w:r>
      <w:r>
        <w:t xml:space="preserve"> also agrees well with the experimental finding of </w:t>
      </w:r>
      <w:r>
        <w:fldChar w:fldCharType="begin"/>
      </w:r>
      <w:r>
        <w:instrText xml:space="preserve"> REF _Ref32138573 \h </w:instrText>
      </w:r>
      <w:r>
        <w:fldChar w:fldCharType="separate"/>
      </w:r>
      <w:r>
        <w:t xml:space="preserve">Figure </w:t>
      </w:r>
      <w:r>
        <w:rPr>
          <w:noProof/>
        </w:rPr>
        <w:t>2</w:t>
      </w:r>
      <w:r>
        <w:fldChar w:fldCharType="end"/>
      </w:r>
      <w:r>
        <w:t xml:space="preserve"> showing that the CO signal drops to zero as more negative potentials are </w:t>
      </w:r>
      <w:r w:rsidR="001D6F7A">
        <w:t>scanned</w:t>
      </w:r>
      <w:r w:rsidR="006169D6">
        <w:t xml:space="preserve"> as Pb replaces adsorbed CO.</w:t>
      </w:r>
      <w:r w:rsidR="001071D7">
        <w:t xml:space="preserve"> </w:t>
      </w:r>
    </w:p>
    <w:p w:rsidR="0076482D" w:rsidRDefault="0076482D" w:rsidP="00E63F9A">
      <w:pPr>
        <w:spacing w:line="480" w:lineRule="auto"/>
        <w:rPr>
          <w:b/>
        </w:rPr>
      </w:pPr>
      <w:r>
        <w:rPr>
          <w:b/>
        </w:rPr>
        <w:br w:type="page"/>
      </w:r>
    </w:p>
    <w:p w:rsidR="0076482D" w:rsidRDefault="0076482D" w:rsidP="00E63F9A">
      <w:pPr>
        <w:spacing w:line="480" w:lineRule="auto"/>
        <w:rPr>
          <w:b/>
        </w:rPr>
      </w:pPr>
      <w:r w:rsidRPr="0076482D">
        <w:rPr>
          <w:b/>
        </w:rPr>
        <w:lastRenderedPageBreak/>
        <w:t>Electrochemical Reaction Energetics</w:t>
      </w:r>
    </w:p>
    <w:p w:rsidR="0076482D" w:rsidRDefault="005E56D2" w:rsidP="00E63F9A">
      <w:pPr>
        <w:spacing w:line="480" w:lineRule="auto"/>
      </w:pPr>
      <w:r>
        <w:t>At potentials where CO is adsorbed on the surface, there are two possible effects that c</w:t>
      </w:r>
      <w:r w:rsidR="004A358E">
        <w:t>ould</w:t>
      </w:r>
      <w:r w:rsidR="0076465C">
        <w:t xml:space="preserve"> alter its adsorption energy as compared to that in atmospheric conditions. </w:t>
      </w:r>
      <w:r w:rsidR="0012788C">
        <w:t xml:space="preserve">Firstly, there is the </w:t>
      </w:r>
      <w:r w:rsidR="00970CA5">
        <w:t>interfacial electric field produced by the double layer, which may stabilize or destabilize a</w:t>
      </w:r>
      <w:r w:rsidR="00970E9E">
        <w:t>n</w:t>
      </w:r>
      <w:r w:rsidR="00970CA5">
        <w:t xml:space="preserve"> adsorbate depending on the surface dipole moment. By applying a series of electric fields to a DFT unit cell, the effect of the Helmholtz layer can be mimicked. </w:t>
      </w:r>
      <w:r w:rsidR="00B81060">
        <w:t xml:space="preserve">The energies vary by the following relationship. </w:t>
      </w:r>
    </w:p>
    <w:p w:rsidR="000D3AAB" w:rsidRPr="000D3AAB" w:rsidRDefault="00C045DE" w:rsidP="00E63F9A">
      <w:pPr>
        <w:spacing w:line="480" w:lineRule="auto"/>
      </w:pPr>
      <m:oMathPara>
        <m:oMath>
          <m:eqArr>
            <m:eqArrPr>
              <m:maxDist m:val="1"/>
              <m:ctrlPr>
                <w:rPr>
                  <w:rFonts w:ascii="Cambria Math" w:hAnsi="Cambria Math"/>
                  <w:i/>
                </w:rPr>
              </m:ctrlPr>
            </m:eqArrPr>
            <m:e>
              <m:r>
                <m:rPr>
                  <m:sty m:val="p"/>
                </m:rPr>
                <w:rPr>
                  <w:rFonts w:ascii="Cambria Math" w:hAnsi="Cambria Math"/>
                </w:rPr>
                <m:t>Δ</m:t>
              </m:r>
              <m:r>
                <w:rPr>
                  <w:rFonts w:ascii="Cambria Math" w:hAnsi="Cambria Math"/>
                </w:rPr>
                <m:t>G=</m:t>
              </m:r>
              <m:r>
                <m:rPr>
                  <m:sty m:val="p"/>
                </m:rPr>
                <w:rPr>
                  <w:rFonts w:ascii="Cambria Math" w:hAnsi="Cambria Math"/>
                </w:rPr>
                <m:t>Δ</m:t>
              </m:r>
              <m:sSub>
                <m:sSubPr>
                  <m:ctrlPr>
                    <w:rPr>
                      <w:rFonts w:ascii="Cambria Math" w:hAnsi="Cambria Math"/>
                      <w:i/>
                    </w:rPr>
                  </m:ctrlPr>
                </m:sSubPr>
                <m:e>
                  <m:r>
                    <w:rPr>
                      <w:rFonts w:ascii="Cambria Math" w:hAnsi="Cambria Math"/>
                    </w:rPr>
                    <m:t>G</m:t>
                  </m:r>
                </m:e>
                <m:sub>
                  <m:r>
                    <w:rPr>
                      <w:rFonts w:ascii="Cambria Math" w:hAnsi="Cambria Math"/>
                    </w:rPr>
                    <m:t>0</m:t>
                  </m:r>
                </m:sub>
              </m:sSub>
              <m:r>
                <w:rPr>
                  <w:rFonts w:ascii="Cambria Math" w:hAnsi="Cambria Math"/>
                </w:rPr>
                <m:t>+μ</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E</m:t>
                      </m:r>
                    </m:e>
                  </m:acc>
                </m:e>
              </m:d>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E</m:t>
                          </m:r>
                        </m:e>
                      </m:acc>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5</m:t>
                  </m:r>
                </m:e>
              </m:d>
            </m:e>
          </m:eqArr>
        </m:oMath>
      </m:oMathPara>
    </w:p>
    <w:p w:rsidR="00E30D71" w:rsidRDefault="00B81060" w:rsidP="00E63F9A">
      <w:pPr>
        <w:spacing w:line="480" w:lineRule="auto"/>
      </w:pPr>
      <w:r>
        <w:t xml:space="preserve">Where </w:t>
      </w:r>
      <m:oMath>
        <m:r>
          <m:rPr>
            <m:sty m:val="p"/>
          </m:rPr>
          <w:rPr>
            <w:rFonts w:ascii="Cambria Math" w:hAnsi="Cambria Math"/>
          </w:rPr>
          <m:t>Δ</m:t>
        </m:r>
        <m:sSub>
          <m:sSubPr>
            <m:ctrlPr>
              <w:rPr>
                <w:rFonts w:ascii="Cambria Math" w:hAnsi="Cambria Math"/>
                <w:i/>
              </w:rPr>
            </m:ctrlPr>
          </m:sSubPr>
          <m:e>
            <m:r>
              <w:rPr>
                <w:rFonts w:ascii="Cambria Math" w:hAnsi="Cambria Math"/>
              </w:rPr>
              <m:t>G</m:t>
            </m:r>
          </m:e>
          <m:sub>
            <m:r>
              <w:rPr>
                <w:rFonts w:ascii="Cambria Math" w:hAnsi="Cambria Math"/>
              </w:rPr>
              <m:t>0</m:t>
            </m:r>
          </m:sub>
        </m:sSub>
      </m:oMath>
      <w:r>
        <w:t xml:space="preserve"> is the </w:t>
      </w:r>
      <w:r w:rsidR="00823093">
        <w:t xml:space="preserve">free energy of </w:t>
      </w:r>
      <w:r>
        <w:t xml:space="preserve">adsorption at zero applied field, </w:t>
      </w:r>
      <m:oMath>
        <m:r>
          <w:rPr>
            <w:rFonts w:ascii="Cambria Math" w:hAnsi="Cambria Math"/>
          </w:rPr>
          <m:t>μ</m:t>
        </m:r>
      </m:oMath>
      <w:r>
        <w:t xml:space="preserve"> refers to the surface dipole moment, </w:t>
      </w:r>
      <m:oMath>
        <m:r>
          <w:rPr>
            <w:rFonts w:ascii="Cambria Math" w:hAnsi="Cambria Math"/>
          </w:rPr>
          <m:t>α</m:t>
        </m:r>
      </m:oMath>
      <w:r>
        <w:t xml:space="preserve"> is the polarizability and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E</m:t>
                </m:r>
              </m:e>
            </m:acc>
          </m:e>
        </m:d>
      </m:oMath>
      <w:r>
        <w:t xml:space="preserve"> is the applied electric field.</w:t>
      </w:r>
      <w:r w:rsidR="00F547F3">
        <w:t xml:space="preserve"> </w:t>
      </w:r>
      <w:r w:rsidR="00D657CF">
        <w:t xml:space="preserve">Equation </w:t>
      </w:r>
      <w:r w:rsidR="00AC2BB5">
        <w:t>5 can be converted to a relationship between adsorption energy and surface charge by using Gauss’ law.</w:t>
      </w:r>
    </w:p>
    <w:p w:rsidR="00AB5B92" w:rsidRDefault="00F547F3" w:rsidP="00AB5B92">
      <w:pPr>
        <w:keepNext/>
        <w:spacing w:line="480" w:lineRule="auto"/>
      </w:pPr>
      <w:r>
        <w:rPr>
          <w:noProof/>
        </w:rPr>
        <w:drawing>
          <wp:inline distT="0" distB="0" distL="0" distR="0">
            <wp:extent cx="5943600" cy="17900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3.pdf"/>
                    <pic:cNvPicPr/>
                  </pic:nvPicPr>
                  <pic:blipFill>
                    <a:blip r:embed="rId11"/>
                    <a:stretch>
                      <a:fillRect/>
                    </a:stretch>
                  </pic:blipFill>
                  <pic:spPr>
                    <a:xfrm>
                      <a:off x="0" y="0"/>
                      <a:ext cx="5943600" cy="1790065"/>
                    </a:xfrm>
                    <a:prstGeom prst="rect">
                      <a:avLst/>
                    </a:prstGeom>
                  </pic:spPr>
                </pic:pic>
              </a:graphicData>
            </a:graphic>
          </wp:inline>
        </w:drawing>
      </w:r>
    </w:p>
    <w:p w:rsidR="00F547F3" w:rsidRDefault="00AB5B92" w:rsidP="00AB5B92">
      <w:pPr>
        <w:pStyle w:val="Caption"/>
        <w:jc w:val="center"/>
      </w:pPr>
      <w:bookmarkStart w:id="3" w:name="_Ref32151631"/>
      <w:r>
        <w:t xml:space="preserve">Figure </w:t>
      </w:r>
      <w:fldSimple w:instr=" SEQ Figure \* ARABIC ">
        <w:r>
          <w:rPr>
            <w:noProof/>
          </w:rPr>
          <w:t>4</w:t>
        </w:r>
      </w:fldSimple>
      <w:bookmarkEnd w:id="3"/>
      <w:r>
        <w:t xml:space="preserve"> a) Dependence of free energy of adsorption of CO on surface charge and potential</w:t>
      </w:r>
      <w:r w:rsidR="001F1AD5">
        <w:t xml:space="preserve"> – points are from DFT calculations, lines are best fit curves</w:t>
      </w:r>
      <w:r>
        <w:t xml:space="preserve"> b) Increase in energies of CO adsorption </w:t>
      </w:r>
      <w:r w:rsidR="00694A87">
        <w:t>due to</w:t>
      </w:r>
      <w:r>
        <w:t xml:space="preserve"> competitive water adsorption</w:t>
      </w:r>
    </w:p>
    <w:p w:rsidR="00F61590" w:rsidRDefault="00F61590" w:rsidP="00F61590"/>
    <w:p w:rsidR="00F61590" w:rsidRDefault="006861AE" w:rsidP="005F4EBA">
      <w:pPr>
        <w:spacing w:line="480" w:lineRule="auto"/>
      </w:pPr>
      <w:r>
        <w:fldChar w:fldCharType="begin"/>
      </w:r>
      <w:r>
        <w:instrText xml:space="preserve"> REF _Ref32151631 \h </w:instrText>
      </w:r>
      <w:r w:rsidR="005F4EBA">
        <w:instrText xml:space="preserve"> \* MERGEFORMAT </w:instrText>
      </w:r>
      <w:r>
        <w:fldChar w:fldCharType="separate"/>
      </w:r>
      <w:r>
        <w:t xml:space="preserve">Figure </w:t>
      </w:r>
      <w:r>
        <w:rPr>
          <w:noProof/>
        </w:rPr>
        <w:t>4</w:t>
      </w:r>
      <w:r>
        <w:fldChar w:fldCharType="end"/>
      </w:r>
      <w:r>
        <w:t>a shows the dependence of the free energy of CO with the associated surface charge and potential.</w:t>
      </w:r>
      <w:r w:rsidR="00823093">
        <w:t xml:space="preserve"> There is </w:t>
      </w:r>
      <w:r w:rsidR="00021150">
        <w:t>as little as 0.1eV change</w:t>
      </w:r>
      <w:r w:rsidR="00823093">
        <w:t xml:space="preserve"> in the </w:t>
      </w:r>
      <w:r w:rsidR="00021150">
        <w:t xml:space="preserve">adsorption energy over a potential range of </w:t>
      </w:r>
      <w:r w:rsidR="00021150">
        <w:lastRenderedPageBreak/>
        <w:t xml:space="preserve">0.5eV. This is indicative of the fact that the surface dipole moment of CO is not very large. </w:t>
      </w:r>
      <w:r w:rsidR="00F46FE2">
        <w:t>Thus</w:t>
      </w:r>
      <w:r w:rsidR="008B6206">
        <w:t>,</w:t>
      </w:r>
      <w:r w:rsidR="00F46FE2">
        <w:t xml:space="preserve"> the interfacial electric field does not play a large role in determining energetics for CO adsorption</w:t>
      </w:r>
      <w:r w:rsidR="008B6206">
        <w:t xml:space="preserve"> for any of the three surface facets considered</w:t>
      </w:r>
      <w:r w:rsidR="00F46FE2">
        <w:t xml:space="preserve">. </w:t>
      </w:r>
    </w:p>
    <w:p w:rsidR="001071D7" w:rsidRDefault="001071D7" w:rsidP="005F4EBA">
      <w:pPr>
        <w:spacing w:line="480" w:lineRule="auto"/>
      </w:pPr>
      <w:r>
        <w:t xml:space="preserve">The second effect is </w:t>
      </w:r>
      <w:r w:rsidR="00474EC3">
        <w:t xml:space="preserve">caused by the presence of solvent near the electrode surface. </w:t>
      </w:r>
      <w:r w:rsidR="008B6206">
        <w:t xml:space="preserve">In this work, we investigate the effect caused by water near </w:t>
      </w:r>
      <w:r w:rsidR="00FD32AA">
        <w:t>two surface facets – 100 and 211</w:t>
      </w:r>
      <w:r w:rsidR="00963D2C">
        <w:t xml:space="preserve">. </w:t>
      </w:r>
      <w:r w:rsidR="00AE15D6">
        <w:t xml:space="preserve">A polar solvent such as water can change the adsorption energy in two ways – 1) creating a large interfacial dipole moment due to its net orientation and 2) weakening CO binding by competitive adsorption. </w:t>
      </w:r>
      <w:r w:rsidR="007D638E">
        <w:t xml:space="preserve">Both effects can be probed simultaneously using </w:t>
      </w:r>
      <w:r w:rsidR="007C0D95">
        <w:t>AIMD</w:t>
      </w:r>
      <w:r w:rsidR="00EB394C">
        <w:t xml:space="preserve"> </w:t>
      </w:r>
      <w:r w:rsidR="007D638E">
        <w:t>simulations</w:t>
      </w:r>
      <w:r w:rsidR="005A7B5E">
        <w:t xml:space="preserve"> (Details in the SI)</w:t>
      </w:r>
      <w:r w:rsidR="007D638E">
        <w:t>.</w:t>
      </w:r>
      <w:r w:rsidR="005A7B5E">
        <w:t xml:space="preserve"> </w:t>
      </w:r>
    </w:p>
    <w:p w:rsidR="00844C41" w:rsidRDefault="007E042B" w:rsidP="005F4EBA">
      <w:pPr>
        <w:spacing w:line="480" w:lineRule="auto"/>
      </w:pPr>
      <w:r>
        <w:fldChar w:fldCharType="begin"/>
      </w:r>
      <w:r>
        <w:instrText xml:space="preserve"> REF _Ref32151631 \h </w:instrText>
      </w:r>
      <w:r>
        <w:fldChar w:fldCharType="separate"/>
      </w:r>
      <w:r>
        <w:t xml:space="preserve">Figure </w:t>
      </w:r>
      <w:r>
        <w:rPr>
          <w:noProof/>
        </w:rPr>
        <w:t>4</w:t>
      </w:r>
      <w:r>
        <w:fldChar w:fldCharType="end"/>
      </w:r>
      <w:r>
        <w:t>b compare</w:t>
      </w:r>
      <w:r w:rsidR="00665F0E">
        <w:t>s</w:t>
      </w:r>
      <w:r>
        <w:t xml:space="preserve"> the change in adsorption energies </w:t>
      </w:r>
      <w:r w:rsidR="00665F0E">
        <w:t>of</w:t>
      </w:r>
      <w:r>
        <w:t xml:space="preserve"> vacuum DFT </w:t>
      </w:r>
      <w:r w:rsidR="00665F0E">
        <w:t>and</w:t>
      </w:r>
      <w:r>
        <w:t xml:space="preserve"> AIMD predictions.</w:t>
      </w:r>
      <w:r w:rsidR="002401F4">
        <w:t xml:space="preserve"> </w:t>
      </w:r>
      <w:r w:rsidR="00844C41">
        <w:t xml:space="preserve">AIMD simulations are run without any </w:t>
      </w:r>
      <w:r w:rsidR="000E762F">
        <w:t xml:space="preserve">added excess charge. </w:t>
      </w:r>
      <w:r w:rsidR="002401F4">
        <w:t>The potential of zero charge</w:t>
      </w:r>
      <w:r w:rsidR="00FA7E4D">
        <w:t xml:space="preserve"> (pzc)</w:t>
      </w:r>
      <w:r w:rsidR="002401F4">
        <w:t xml:space="preserve"> as predicted by AIMD simulations</w:t>
      </w:r>
      <w:r w:rsidR="00850704">
        <w:t xml:space="preserve"> (0.47V)</w:t>
      </w:r>
      <w:r w:rsidR="002401F4">
        <w:t xml:space="preserve"> are close to that seen in experiment</w:t>
      </w:r>
      <w:r w:rsidR="00850704">
        <w:t xml:space="preserve"> for a range of electrolytes</w:t>
      </w:r>
      <w:r w:rsidR="00850704">
        <w:rPr>
          <w:rStyle w:val="FootnoteReference"/>
        </w:rPr>
        <w:fldChar w:fldCharType="begin" w:fldLock="1"/>
      </w:r>
      <w:r w:rsidR="00FA65CF">
        <w:instrText>ADDIN CSL_CITATION {"citationItems":[{"id":"ITEM-1","itemData":{"DOI":"10.1016/0022-0728(95)03833-3","ISSN":"00220728","abstract":"Electrochemical results obtained in neutral solutions, sulphuric acid and perchloric acid for the gold (100) face are described with the primary objective of providing an assessment of apparently differing interpretations published by other workers. Values of the potential of zero charge in these different media are given for mostly unreconstructed surfaces. © 1995.","author":[{"dropping-particle":"","family":"Hamelin","given":"A","non-dropping-particle":"","parse-names":false,"suffix":""}],"container-title":"Journal of Electroanalytical Chemistry","id":"ITEM-1","issue":"1-2","issued":{"date-parts":[["1995"]]},"page":"1-10","title":"The surface state and the potential of zero charge of gold (100): a further assessment","type":"article","volume":"386"},"uris":["http://www.mendeley.com/documents/?uuid=5631bd96-c6fa-37b3-a911-015748d80f93"]}],"mendeley":{"formattedCitation":"&lt;sup&gt;9&lt;/sup&gt;","plainTextFormattedCitation":"9","previouslyFormattedCitation":"&lt;sup&gt;8&lt;/sup&gt;"},"properties":{"noteIndex":0},"schema":"https://github.com/citation-style-language/schema/raw/master/csl-citation.json"}</w:instrText>
      </w:r>
      <w:r w:rsidR="00850704">
        <w:rPr>
          <w:rStyle w:val="FootnoteReference"/>
        </w:rPr>
        <w:fldChar w:fldCharType="separate"/>
      </w:r>
      <w:r w:rsidR="00FA65CF" w:rsidRPr="00FA65CF">
        <w:rPr>
          <w:noProof/>
          <w:vertAlign w:val="superscript"/>
        </w:rPr>
        <w:t>9</w:t>
      </w:r>
      <w:r w:rsidR="00850704">
        <w:rPr>
          <w:rStyle w:val="FootnoteReference"/>
        </w:rPr>
        <w:fldChar w:fldCharType="end"/>
      </w:r>
      <w:r w:rsidR="002401F4">
        <w:t xml:space="preserve">. </w:t>
      </w:r>
    </w:p>
    <w:p w:rsidR="00937224" w:rsidRDefault="008F19D5" w:rsidP="005F4EBA">
      <w:pPr>
        <w:spacing w:line="480" w:lineRule="auto"/>
      </w:pPr>
      <w:r>
        <w:t xml:space="preserve">There is </w:t>
      </w:r>
      <w:r w:rsidR="009161E3">
        <w:t>an</w:t>
      </w:r>
      <w:r>
        <w:t xml:space="preserve"> under-prediction </w:t>
      </w:r>
      <w:r w:rsidR="00361277">
        <w:t>of binding energy for both surface facets.</w:t>
      </w:r>
      <w:r w:rsidR="00CE6AC8">
        <w:t xml:space="preserve"> CO adsorption </w:t>
      </w:r>
      <w:r w:rsidR="00E3330B">
        <w:t>on Au</w:t>
      </w:r>
      <w:r w:rsidR="009161E3">
        <w:t>(211)</w:t>
      </w:r>
      <w:r w:rsidR="00CE6AC8">
        <w:t xml:space="preserve"> is increased by 0.6eV, while that of Au(100) is increased by 0.14eV. </w:t>
      </w:r>
      <w:r w:rsidR="009161E3">
        <w:t xml:space="preserve"> </w:t>
      </w:r>
      <w:r w:rsidR="00E3330B">
        <w:t xml:space="preserve">This extreme increase in adsorption energy in the case of Au(211) as compared to Au(100) is due to that fact that water binds stronger on a step </w:t>
      </w:r>
      <w:r w:rsidR="00D93A22">
        <w:t xml:space="preserve">as compared to a terrace. </w:t>
      </w:r>
      <w:r w:rsidR="00E3330B">
        <w:t xml:space="preserve"> </w:t>
      </w:r>
      <w:r w:rsidR="0046622B">
        <w:t xml:space="preserve">Thus, at certain potentials, water at the interface might cause an increase in the adsorption energy. </w:t>
      </w:r>
    </w:p>
    <w:p w:rsidR="00CD74CC" w:rsidRDefault="00CD74CC" w:rsidP="005F4EBA">
      <w:pPr>
        <w:spacing w:line="480" w:lineRule="auto"/>
        <w:rPr>
          <w:b/>
        </w:rPr>
      </w:pPr>
      <w:r>
        <w:rPr>
          <w:b/>
        </w:rPr>
        <w:br w:type="page"/>
      </w:r>
    </w:p>
    <w:p w:rsidR="00CD74CC" w:rsidRDefault="00CD74CC" w:rsidP="005F4EBA">
      <w:pPr>
        <w:spacing w:line="480" w:lineRule="auto"/>
        <w:rPr>
          <w:b/>
        </w:rPr>
      </w:pPr>
      <w:r w:rsidRPr="00CD74CC">
        <w:rPr>
          <w:b/>
        </w:rPr>
        <w:lastRenderedPageBreak/>
        <w:t xml:space="preserve">Conclusions </w:t>
      </w:r>
    </w:p>
    <w:p w:rsidR="00CD74CC" w:rsidRDefault="00CD74CC" w:rsidP="005F4EBA">
      <w:pPr>
        <w:spacing w:line="480" w:lineRule="auto"/>
      </w:pPr>
      <w:r>
        <w:t xml:space="preserve">CO adsorption on Au is a particularly important reaction for several electrochemical processes and more broadly, for heterogeneous catalysis. </w:t>
      </w:r>
      <w:r w:rsidR="00EA03C5">
        <w:t xml:space="preserve">However, there is still controversy regarding the adsorption energy as well as the surface coverage. In this letter, we use a joint experimental and theoretical approach to elucidate binding characteristics of CO on Au using several </w:t>
      </w:r>
      <w:r w:rsidR="00700EB2">
        <w:t>state-of-the-art</w:t>
      </w:r>
      <w:r w:rsidR="00EA03C5">
        <w:t xml:space="preserve"> methods.</w:t>
      </w:r>
      <w:r w:rsidR="00700EB2">
        <w:t xml:space="preserve"> Adsorption energies of CO in atmospheric conditions are determined by simulating TPD rates. It is found that up to 0.5ML of CO may be present on a 211 step site, but there is likely no coverage on a terrace site. </w:t>
      </w:r>
      <w:r w:rsidR="002547ED">
        <w:t xml:space="preserve">Lead UPD is used to block active CO adsorption sites in order to study the </w:t>
      </w:r>
      <w:r w:rsidR="00EB1ECE">
        <w:t xml:space="preserve">CO adsorption on the 111 terrace site as a function of the potential. Surface facets most favorable for Pb adsorption </w:t>
      </w:r>
      <w:r w:rsidR="006E6D6F">
        <w:t xml:space="preserve">are determined using surface </w:t>
      </w:r>
      <w:r w:rsidR="00F546E0">
        <w:t>P</w:t>
      </w:r>
      <w:r w:rsidR="006E6D6F">
        <w:t xml:space="preserve">ourbaix diagrams. </w:t>
      </w:r>
      <w:r w:rsidR="00A20A24">
        <w:t xml:space="preserve">Finally, we investigate the </w:t>
      </w:r>
      <w:r w:rsidR="008F5D6E">
        <w:t xml:space="preserve">role of the electrochemical interface by performing calculations are different field strengths and AIMD simulations. The effect of the interfacial field appears to be small while that of competitive water adsorption </w:t>
      </w:r>
      <w:r w:rsidR="003E7167">
        <w:t>appears to be</w:t>
      </w:r>
      <w:r w:rsidR="008F5D6E">
        <w:t xml:space="preserve"> </w:t>
      </w:r>
      <w:r w:rsidR="0070364B">
        <w:t>0.6eV</w:t>
      </w:r>
      <w:r w:rsidR="008F5D6E">
        <w:t xml:space="preserve"> for a 211 step, but </w:t>
      </w:r>
      <w:r w:rsidR="0070364B">
        <w:t>less than 0.2eV</w:t>
      </w:r>
      <w:bookmarkStart w:id="4" w:name="_GoBack"/>
      <w:bookmarkEnd w:id="4"/>
      <w:r w:rsidR="008F5D6E">
        <w:t xml:space="preserve"> for a 100 terrace. </w:t>
      </w:r>
      <w:r w:rsidR="006B0849">
        <w:t xml:space="preserve">This investigation shows that there are several possibilities for dominant effects at the electrochemical interface and that predictive reaction energies are still an open challenge. </w:t>
      </w:r>
    </w:p>
    <w:p w:rsidR="009353D0" w:rsidRDefault="009353D0" w:rsidP="005F4EBA">
      <w:pPr>
        <w:spacing w:line="480" w:lineRule="auto"/>
      </w:pPr>
    </w:p>
    <w:p w:rsidR="00FA65CF" w:rsidRPr="00FA65CF" w:rsidRDefault="009353D0" w:rsidP="00FA65CF">
      <w:pPr>
        <w:widowControl w:val="0"/>
        <w:autoSpaceDE w:val="0"/>
        <w:autoSpaceDN w:val="0"/>
        <w:adjustRightInd w:val="0"/>
        <w:spacing w:line="480" w:lineRule="auto"/>
        <w:ind w:left="640" w:hanging="640"/>
        <w:rPr>
          <w:noProof/>
        </w:rPr>
      </w:pPr>
      <w:r>
        <w:fldChar w:fldCharType="begin" w:fldLock="1"/>
      </w:r>
      <w:r>
        <w:instrText xml:space="preserve">ADDIN Mendeley Bibliography CSL_BIBLIOGRAPHY </w:instrText>
      </w:r>
      <w:r>
        <w:fldChar w:fldCharType="separate"/>
      </w:r>
      <w:r w:rsidR="00FA65CF" w:rsidRPr="00FA65CF">
        <w:rPr>
          <w:noProof/>
        </w:rPr>
        <w:t>1.</w:t>
      </w:r>
      <w:r w:rsidR="00FA65CF" w:rsidRPr="00FA65CF">
        <w:rPr>
          <w:noProof/>
        </w:rPr>
        <w:tab/>
        <w:t xml:space="preserve">Lopez, N. </w:t>
      </w:r>
      <w:r w:rsidR="00FA65CF" w:rsidRPr="00FA65CF">
        <w:rPr>
          <w:i/>
          <w:iCs/>
          <w:noProof/>
        </w:rPr>
        <w:t>et al.</w:t>
      </w:r>
      <w:r w:rsidR="00FA65CF" w:rsidRPr="00FA65CF">
        <w:rPr>
          <w:noProof/>
        </w:rPr>
        <w:t xml:space="preserve"> On the origin of the catalytic activity of gold nanoparticles for low-temperature CO oxidation. </w:t>
      </w:r>
      <w:r w:rsidR="00FA65CF" w:rsidRPr="00FA65CF">
        <w:rPr>
          <w:i/>
          <w:iCs/>
          <w:noProof/>
        </w:rPr>
        <w:t>J. Catal.</w:t>
      </w:r>
      <w:r w:rsidR="00FA65CF" w:rsidRPr="00FA65CF">
        <w:rPr>
          <w:noProof/>
        </w:rPr>
        <w:t xml:space="preserve"> </w:t>
      </w:r>
      <w:r w:rsidR="00FA65CF" w:rsidRPr="00FA65CF">
        <w:rPr>
          <w:b/>
          <w:bCs/>
          <w:noProof/>
        </w:rPr>
        <w:t>223</w:t>
      </w:r>
      <w:r w:rsidR="00FA65CF" w:rsidRPr="00FA65CF">
        <w:rPr>
          <w:noProof/>
        </w:rPr>
        <w:t>, 232–235 (2004).</w:t>
      </w:r>
    </w:p>
    <w:p w:rsidR="00FA65CF" w:rsidRPr="00FA65CF" w:rsidRDefault="00FA65CF" w:rsidP="00FA65CF">
      <w:pPr>
        <w:widowControl w:val="0"/>
        <w:autoSpaceDE w:val="0"/>
        <w:autoSpaceDN w:val="0"/>
        <w:adjustRightInd w:val="0"/>
        <w:spacing w:line="480" w:lineRule="auto"/>
        <w:ind w:left="640" w:hanging="640"/>
        <w:rPr>
          <w:noProof/>
        </w:rPr>
      </w:pPr>
      <w:r w:rsidRPr="00FA65CF">
        <w:rPr>
          <w:noProof/>
        </w:rPr>
        <w:t>2.</w:t>
      </w:r>
      <w:r w:rsidRPr="00FA65CF">
        <w:rPr>
          <w:noProof/>
        </w:rPr>
        <w:tab/>
        <w:t xml:space="preserve">Rodriguez, P. &amp; Koper, M. T. M. Electrocatalysis on gold. </w:t>
      </w:r>
      <w:r w:rsidRPr="00FA65CF">
        <w:rPr>
          <w:i/>
          <w:iCs/>
          <w:noProof/>
        </w:rPr>
        <w:t>Physical Chemistry Chemical Physics</w:t>
      </w:r>
      <w:r w:rsidRPr="00FA65CF">
        <w:rPr>
          <w:noProof/>
        </w:rPr>
        <w:t xml:space="preserve"> </w:t>
      </w:r>
      <w:r w:rsidRPr="00FA65CF">
        <w:rPr>
          <w:b/>
          <w:bCs/>
          <w:noProof/>
        </w:rPr>
        <w:t>16</w:t>
      </w:r>
      <w:r w:rsidRPr="00FA65CF">
        <w:rPr>
          <w:noProof/>
        </w:rPr>
        <w:t>, 13583–13594 (2014).</w:t>
      </w:r>
    </w:p>
    <w:p w:rsidR="00FA65CF" w:rsidRPr="00FA65CF" w:rsidRDefault="00FA65CF" w:rsidP="00FA65CF">
      <w:pPr>
        <w:widowControl w:val="0"/>
        <w:autoSpaceDE w:val="0"/>
        <w:autoSpaceDN w:val="0"/>
        <w:adjustRightInd w:val="0"/>
        <w:spacing w:line="480" w:lineRule="auto"/>
        <w:ind w:left="640" w:hanging="640"/>
        <w:rPr>
          <w:noProof/>
        </w:rPr>
      </w:pPr>
      <w:r w:rsidRPr="00FA65CF">
        <w:rPr>
          <w:noProof/>
        </w:rPr>
        <w:t>3.</w:t>
      </w:r>
      <w:r w:rsidRPr="00FA65CF">
        <w:rPr>
          <w:noProof/>
        </w:rPr>
        <w:tab/>
        <w:t xml:space="preserve">Chen, Y., Li, C. W. &amp; Kanan, M. W. Aqueous CO2 reduction at very low overpotential on </w:t>
      </w:r>
      <w:r w:rsidRPr="00FA65CF">
        <w:rPr>
          <w:noProof/>
        </w:rPr>
        <w:lastRenderedPageBreak/>
        <w:t xml:space="preserve">oxide-derived au nanoparticles. </w:t>
      </w:r>
      <w:r w:rsidRPr="00FA65CF">
        <w:rPr>
          <w:i/>
          <w:iCs/>
          <w:noProof/>
        </w:rPr>
        <w:t>J. Am. Chem. Soc.</w:t>
      </w:r>
      <w:r w:rsidRPr="00FA65CF">
        <w:rPr>
          <w:noProof/>
        </w:rPr>
        <w:t xml:space="preserve"> </w:t>
      </w:r>
      <w:r w:rsidRPr="00FA65CF">
        <w:rPr>
          <w:b/>
          <w:bCs/>
          <w:noProof/>
        </w:rPr>
        <w:t>134</w:t>
      </w:r>
      <w:r w:rsidRPr="00FA65CF">
        <w:rPr>
          <w:noProof/>
        </w:rPr>
        <w:t>, 19969–19972 (2012).</w:t>
      </w:r>
    </w:p>
    <w:p w:rsidR="00FA65CF" w:rsidRPr="00FA65CF" w:rsidRDefault="00FA65CF" w:rsidP="00FA65CF">
      <w:pPr>
        <w:widowControl w:val="0"/>
        <w:autoSpaceDE w:val="0"/>
        <w:autoSpaceDN w:val="0"/>
        <w:adjustRightInd w:val="0"/>
        <w:spacing w:line="480" w:lineRule="auto"/>
        <w:ind w:left="640" w:hanging="640"/>
        <w:rPr>
          <w:noProof/>
        </w:rPr>
      </w:pPr>
      <w:r w:rsidRPr="00FA65CF">
        <w:rPr>
          <w:noProof/>
        </w:rPr>
        <w:t>4.</w:t>
      </w:r>
      <w:r w:rsidRPr="00FA65CF">
        <w:rPr>
          <w:noProof/>
        </w:rPr>
        <w:tab/>
        <w:t xml:space="preserve">Markovic, N. M., Tidswell, I. M. &amp; Ross, P. N. </w:t>
      </w:r>
      <w:r w:rsidRPr="00FA65CF">
        <w:rPr>
          <w:i/>
          <w:iCs/>
          <w:noProof/>
        </w:rPr>
        <w:t>Letters Oxygen and Hydrogen Peroxide Reduction on the Au(100) Surface in Alkaline Electrolyte: The Roles of Surface Structure and Hydroxide Adsorption</w:t>
      </w:r>
      <w:r w:rsidRPr="00FA65CF">
        <w:rPr>
          <w:noProof/>
        </w:rPr>
        <w:t xml:space="preserve">. </w:t>
      </w:r>
      <w:r w:rsidRPr="00FA65CF">
        <w:rPr>
          <w:i/>
          <w:iCs/>
          <w:noProof/>
        </w:rPr>
        <w:t>The ACS Journal of Surfaces and Colloids</w:t>
      </w:r>
      <w:r w:rsidRPr="00FA65CF">
        <w:rPr>
          <w:noProof/>
        </w:rPr>
        <w:t xml:space="preserve"> </w:t>
      </w:r>
      <w:r w:rsidRPr="00FA65CF">
        <w:rPr>
          <w:b/>
          <w:bCs/>
          <w:noProof/>
        </w:rPr>
        <w:t>10</w:t>
      </w:r>
      <w:r w:rsidRPr="00FA65CF">
        <w:rPr>
          <w:noProof/>
        </w:rPr>
        <w:t>, (1994).</w:t>
      </w:r>
    </w:p>
    <w:p w:rsidR="00FA65CF" w:rsidRPr="00FA65CF" w:rsidRDefault="00FA65CF" w:rsidP="00FA65CF">
      <w:pPr>
        <w:widowControl w:val="0"/>
        <w:autoSpaceDE w:val="0"/>
        <w:autoSpaceDN w:val="0"/>
        <w:adjustRightInd w:val="0"/>
        <w:spacing w:line="480" w:lineRule="auto"/>
        <w:ind w:left="640" w:hanging="640"/>
        <w:rPr>
          <w:noProof/>
        </w:rPr>
      </w:pPr>
      <w:r w:rsidRPr="00FA65CF">
        <w:rPr>
          <w:noProof/>
        </w:rPr>
        <w:t>5.</w:t>
      </w:r>
      <w:r w:rsidRPr="00FA65CF">
        <w:rPr>
          <w:noProof/>
        </w:rPr>
        <w:tab/>
        <w:t xml:space="preserve">Kwon, Y., Lai, S. C. S., Rodriguez, P. &amp; Koper, M. T. M. Electrocatalytic oxidation of alcohols on gold in alkaline media: Base or gold catalysis? </w:t>
      </w:r>
      <w:r w:rsidRPr="00FA65CF">
        <w:rPr>
          <w:i/>
          <w:iCs/>
          <w:noProof/>
        </w:rPr>
        <w:t>J. Am. Chem. Soc.</w:t>
      </w:r>
      <w:r w:rsidRPr="00FA65CF">
        <w:rPr>
          <w:noProof/>
        </w:rPr>
        <w:t xml:space="preserve"> </w:t>
      </w:r>
      <w:r w:rsidRPr="00FA65CF">
        <w:rPr>
          <w:b/>
          <w:bCs/>
          <w:noProof/>
        </w:rPr>
        <w:t>133</w:t>
      </w:r>
      <w:r w:rsidRPr="00FA65CF">
        <w:rPr>
          <w:noProof/>
        </w:rPr>
        <w:t>, 6914–6917 (2011).</w:t>
      </w:r>
    </w:p>
    <w:p w:rsidR="00FA65CF" w:rsidRPr="00FA65CF" w:rsidRDefault="00FA65CF" w:rsidP="00FA65CF">
      <w:pPr>
        <w:widowControl w:val="0"/>
        <w:autoSpaceDE w:val="0"/>
        <w:autoSpaceDN w:val="0"/>
        <w:adjustRightInd w:val="0"/>
        <w:spacing w:line="480" w:lineRule="auto"/>
        <w:ind w:left="640" w:hanging="640"/>
        <w:rPr>
          <w:noProof/>
        </w:rPr>
      </w:pPr>
      <w:r w:rsidRPr="00FA65CF">
        <w:rPr>
          <w:noProof/>
        </w:rPr>
        <w:t>6.</w:t>
      </w:r>
      <w:r w:rsidRPr="00FA65CF">
        <w:rPr>
          <w:noProof/>
        </w:rPr>
        <w:tab/>
        <w:t xml:space="preserve">Hammer, B. &amp; Norskov, J. K. Why gold is the noblest of all the metals. </w:t>
      </w:r>
      <w:r w:rsidRPr="00FA65CF">
        <w:rPr>
          <w:i/>
          <w:iCs/>
          <w:noProof/>
        </w:rPr>
        <w:t>Nature</w:t>
      </w:r>
      <w:r w:rsidRPr="00FA65CF">
        <w:rPr>
          <w:noProof/>
        </w:rPr>
        <w:t xml:space="preserve"> </w:t>
      </w:r>
      <w:r w:rsidRPr="00FA65CF">
        <w:rPr>
          <w:b/>
          <w:bCs/>
          <w:noProof/>
        </w:rPr>
        <w:t>376</w:t>
      </w:r>
      <w:r w:rsidRPr="00FA65CF">
        <w:rPr>
          <w:noProof/>
        </w:rPr>
        <w:t>, 238–240 (1995).</w:t>
      </w:r>
    </w:p>
    <w:p w:rsidR="00FA65CF" w:rsidRPr="00FA65CF" w:rsidRDefault="00FA65CF" w:rsidP="00FA65CF">
      <w:pPr>
        <w:widowControl w:val="0"/>
        <w:autoSpaceDE w:val="0"/>
        <w:autoSpaceDN w:val="0"/>
        <w:adjustRightInd w:val="0"/>
        <w:spacing w:line="480" w:lineRule="auto"/>
        <w:ind w:left="640" w:hanging="640"/>
        <w:rPr>
          <w:noProof/>
        </w:rPr>
      </w:pPr>
      <w:r w:rsidRPr="00FA65CF">
        <w:rPr>
          <w:noProof/>
        </w:rPr>
        <w:t>7.</w:t>
      </w:r>
      <w:r w:rsidRPr="00FA65CF">
        <w:rPr>
          <w:noProof/>
        </w:rPr>
        <w:tab/>
        <w:t xml:space="preserve">Kim, J., Samano, E. &amp; Koel, B. E. CO adsorption and reaction on clean and oxygen-covered Au(211) surfaces. </w:t>
      </w:r>
      <w:r w:rsidRPr="00FA65CF">
        <w:rPr>
          <w:i/>
          <w:iCs/>
          <w:noProof/>
        </w:rPr>
        <w:t>J. Phys. Chem. B</w:t>
      </w:r>
      <w:r w:rsidRPr="00FA65CF">
        <w:rPr>
          <w:noProof/>
        </w:rPr>
        <w:t xml:space="preserve"> </w:t>
      </w:r>
      <w:r w:rsidRPr="00FA65CF">
        <w:rPr>
          <w:b/>
          <w:bCs/>
          <w:noProof/>
        </w:rPr>
        <w:t>110</w:t>
      </w:r>
      <w:r w:rsidRPr="00FA65CF">
        <w:rPr>
          <w:noProof/>
        </w:rPr>
        <w:t>, 17512–17517 (2006).</w:t>
      </w:r>
    </w:p>
    <w:p w:rsidR="00FA65CF" w:rsidRPr="00FA65CF" w:rsidRDefault="00FA65CF" w:rsidP="00FA65CF">
      <w:pPr>
        <w:widowControl w:val="0"/>
        <w:autoSpaceDE w:val="0"/>
        <w:autoSpaceDN w:val="0"/>
        <w:adjustRightInd w:val="0"/>
        <w:spacing w:line="480" w:lineRule="auto"/>
        <w:ind w:left="640" w:hanging="640"/>
        <w:rPr>
          <w:noProof/>
        </w:rPr>
      </w:pPr>
      <w:r w:rsidRPr="00FA65CF">
        <w:rPr>
          <w:noProof/>
        </w:rPr>
        <w:t>8.</w:t>
      </w:r>
      <w:r w:rsidRPr="00FA65CF">
        <w:rPr>
          <w:noProof/>
        </w:rPr>
        <w:tab/>
        <w:t xml:space="preserve">Hammer, B. &amp; Nielsen, O. H. </w:t>
      </w:r>
      <w:r w:rsidRPr="00FA65CF">
        <w:rPr>
          <w:i/>
          <w:iCs/>
          <w:noProof/>
        </w:rPr>
        <w:t>Structure sensitivity in adsorption: CO interaction with stepped and reconstructed Pt surfaces</w:t>
      </w:r>
      <w:r w:rsidRPr="00FA65CF">
        <w:rPr>
          <w:noProof/>
        </w:rPr>
        <w:t>.</w:t>
      </w:r>
    </w:p>
    <w:p w:rsidR="00FA65CF" w:rsidRPr="00FA65CF" w:rsidRDefault="00FA65CF" w:rsidP="00FA65CF">
      <w:pPr>
        <w:widowControl w:val="0"/>
        <w:autoSpaceDE w:val="0"/>
        <w:autoSpaceDN w:val="0"/>
        <w:adjustRightInd w:val="0"/>
        <w:spacing w:line="480" w:lineRule="auto"/>
        <w:ind w:left="640" w:hanging="640"/>
        <w:rPr>
          <w:noProof/>
        </w:rPr>
      </w:pPr>
      <w:r w:rsidRPr="00FA65CF">
        <w:rPr>
          <w:noProof/>
        </w:rPr>
        <w:t>9.</w:t>
      </w:r>
      <w:r w:rsidRPr="00FA65CF">
        <w:rPr>
          <w:noProof/>
        </w:rPr>
        <w:tab/>
        <w:t xml:space="preserve">Hamelin, A. The surface state and the potential of zero charge of gold (100): a further assessment. </w:t>
      </w:r>
      <w:r w:rsidRPr="00FA65CF">
        <w:rPr>
          <w:i/>
          <w:iCs/>
          <w:noProof/>
        </w:rPr>
        <w:t>Journal of Electroanalytical Chemistry</w:t>
      </w:r>
      <w:r w:rsidRPr="00FA65CF">
        <w:rPr>
          <w:noProof/>
        </w:rPr>
        <w:t xml:space="preserve"> </w:t>
      </w:r>
      <w:r w:rsidRPr="00FA65CF">
        <w:rPr>
          <w:b/>
          <w:bCs/>
          <w:noProof/>
        </w:rPr>
        <w:t>386</w:t>
      </w:r>
      <w:r w:rsidRPr="00FA65CF">
        <w:rPr>
          <w:noProof/>
        </w:rPr>
        <w:t>, 1–10 (1995).</w:t>
      </w:r>
    </w:p>
    <w:p w:rsidR="009353D0" w:rsidRPr="00CD74CC" w:rsidRDefault="009353D0" w:rsidP="00FA65CF">
      <w:pPr>
        <w:widowControl w:val="0"/>
        <w:autoSpaceDE w:val="0"/>
        <w:autoSpaceDN w:val="0"/>
        <w:adjustRightInd w:val="0"/>
        <w:spacing w:line="480" w:lineRule="auto"/>
        <w:ind w:left="640" w:hanging="640"/>
      </w:pPr>
      <w:r>
        <w:fldChar w:fldCharType="end"/>
      </w:r>
    </w:p>
    <w:sectPr w:rsidR="009353D0" w:rsidRPr="00CD74CC" w:rsidSect="000B5610">
      <w:footerReference w:type="even" r:id="rId12"/>
      <w:footerReference w:type="default" r:id="rId13"/>
      <w:type w:val="continuous"/>
      <w:pgSz w:w="12240" w:h="15840"/>
      <w:pgMar w:top="1440" w:right="1440" w:bottom="1440" w:left="1440" w:header="0" w:footer="0" w:gutter="0"/>
      <w:cols w:space="475"/>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045DE" w:rsidRDefault="00C045DE">
      <w:r>
        <w:separator/>
      </w:r>
    </w:p>
  </w:endnote>
  <w:endnote w:type="continuationSeparator" w:id="0">
    <w:p w:rsidR="00C045DE" w:rsidRDefault="00C045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imes">
    <w:panose1 w:val="00000500000000020000"/>
    <w:charset w:val="00"/>
    <w:family w:val="auto"/>
    <w:pitch w:val="variable"/>
    <w:sig w:usb0="E00002FF" w:usb1="5000205A" w:usb2="00000000" w:usb3="00000000" w:csb0="0000019F" w:csb1="00000000"/>
  </w:font>
  <w:font w:name="New York">
    <w:altName w:val="Tahoma"/>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no Pro">
    <w:altName w:val="Times New Roman"/>
    <w:panose1 w:val="020B0604020202020204"/>
    <w:charset w:val="00"/>
    <w:family w:val="roman"/>
    <w:notTrueType/>
    <w:pitch w:val="variable"/>
    <w:sig w:usb0="60000287" w:usb1="00000001"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B4AF3" w:rsidRDefault="003B4AF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rsidR="003B4AF3" w:rsidRDefault="003B4AF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B4AF3" w:rsidRDefault="003B4AF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35458">
      <w:rPr>
        <w:rStyle w:val="PageNumber"/>
        <w:noProof/>
      </w:rPr>
      <w:t>1</w:t>
    </w:r>
    <w:r>
      <w:rPr>
        <w:rStyle w:val="PageNumber"/>
      </w:rPr>
      <w:fldChar w:fldCharType="end"/>
    </w:r>
  </w:p>
  <w:p w:rsidR="003B4AF3" w:rsidRDefault="003B4AF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045DE" w:rsidRDefault="00C045DE">
      <w:r>
        <w:separator/>
      </w:r>
    </w:p>
  </w:footnote>
  <w:footnote w:type="continuationSeparator" w:id="0">
    <w:p w:rsidR="00C045DE" w:rsidRDefault="00C045D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0D4588"/>
    <w:multiLevelType w:val="hybridMultilevel"/>
    <w:tmpl w:val="56DCB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EC86632"/>
    <w:multiLevelType w:val="hybridMultilevel"/>
    <w:tmpl w:val="2CEA800E"/>
    <w:lvl w:ilvl="0" w:tplc="37367B38">
      <w:start w:val="1"/>
      <w:numFmt w:val="decimal"/>
      <w:lvlText w:val="(%1)"/>
      <w:lvlJc w:val="left"/>
      <w:pPr>
        <w:ind w:left="720" w:hanging="360"/>
      </w:pPr>
      <w:rPr>
        <w:rFonts w:ascii="Times" w:eastAsia="Times New Roman" w:hAnsi="Times" w:cs="Time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6D3F9A"/>
    <w:multiLevelType w:val="singleLevel"/>
    <w:tmpl w:val="8BC469AA"/>
    <w:lvl w:ilvl="0">
      <w:start w:val="1"/>
      <w:numFmt w:val="lowerLetter"/>
      <w:lvlText w:val="%1."/>
      <w:lvlJc w:val="left"/>
      <w:pPr>
        <w:tabs>
          <w:tab w:val="num" w:pos="720"/>
        </w:tabs>
        <w:ind w:left="720" w:hanging="360"/>
      </w:pPr>
      <w:rPr>
        <w:rFonts w:hint="default"/>
      </w:rPr>
    </w:lvl>
  </w:abstractNum>
  <w:abstractNum w:abstractNumId="3" w15:restartNumberingAfterBreak="0">
    <w:nsid w:val="34FD0C72"/>
    <w:multiLevelType w:val="singleLevel"/>
    <w:tmpl w:val="0409000F"/>
    <w:lvl w:ilvl="0">
      <w:start w:val="1"/>
      <w:numFmt w:val="decimal"/>
      <w:lvlText w:val="%1."/>
      <w:lvlJc w:val="left"/>
      <w:pPr>
        <w:tabs>
          <w:tab w:val="num" w:pos="360"/>
        </w:tabs>
        <w:ind w:left="360" w:hanging="360"/>
      </w:pPr>
      <w:rPr>
        <w:rFonts w:hint="default"/>
      </w:rPr>
    </w:lvl>
  </w:abstractNum>
  <w:abstractNum w:abstractNumId="4" w15:restartNumberingAfterBreak="0">
    <w:nsid w:val="3762623B"/>
    <w:multiLevelType w:val="singleLevel"/>
    <w:tmpl w:val="0409000F"/>
    <w:lvl w:ilvl="0">
      <w:start w:val="1"/>
      <w:numFmt w:val="decimal"/>
      <w:lvlText w:val="%1."/>
      <w:lvlJc w:val="left"/>
      <w:pPr>
        <w:tabs>
          <w:tab w:val="num" w:pos="360"/>
        </w:tabs>
        <w:ind w:left="360" w:hanging="360"/>
      </w:pPr>
      <w:rPr>
        <w:rFonts w:hint="default"/>
      </w:rPr>
    </w:lvl>
  </w:abstractNum>
  <w:abstractNum w:abstractNumId="5" w15:restartNumberingAfterBreak="0">
    <w:nsid w:val="384622AB"/>
    <w:multiLevelType w:val="singleLevel"/>
    <w:tmpl w:val="6FF0DD10"/>
    <w:lvl w:ilvl="0">
      <w:start w:val="1"/>
      <w:numFmt w:val="lowerLetter"/>
      <w:lvlText w:val="%1."/>
      <w:lvlJc w:val="left"/>
      <w:pPr>
        <w:tabs>
          <w:tab w:val="num" w:pos="922"/>
        </w:tabs>
        <w:ind w:left="922" w:hanging="360"/>
      </w:pPr>
      <w:rPr>
        <w:rFonts w:hint="default"/>
      </w:rPr>
    </w:lvl>
  </w:abstractNum>
  <w:abstractNum w:abstractNumId="6" w15:restartNumberingAfterBreak="0">
    <w:nsid w:val="3E7A7E0C"/>
    <w:multiLevelType w:val="singleLevel"/>
    <w:tmpl w:val="E32C900E"/>
    <w:lvl w:ilvl="0">
      <w:start w:val="1"/>
      <w:numFmt w:val="decimal"/>
      <w:lvlText w:val="%1."/>
      <w:lvlJc w:val="left"/>
      <w:pPr>
        <w:tabs>
          <w:tab w:val="num" w:pos="562"/>
        </w:tabs>
        <w:ind w:left="562" w:hanging="360"/>
      </w:pPr>
      <w:rPr>
        <w:rFonts w:hint="default"/>
      </w:rPr>
    </w:lvl>
  </w:abstractNum>
  <w:abstractNum w:abstractNumId="7" w15:restartNumberingAfterBreak="0">
    <w:nsid w:val="41DB2E3C"/>
    <w:multiLevelType w:val="singleLevel"/>
    <w:tmpl w:val="E5E28CB0"/>
    <w:lvl w:ilvl="0">
      <w:start w:val="1"/>
      <w:numFmt w:val="lowerLetter"/>
      <w:lvlText w:val="%1."/>
      <w:lvlJc w:val="left"/>
      <w:pPr>
        <w:tabs>
          <w:tab w:val="num" w:pos="1080"/>
        </w:tabs>
        <w:ind w:left="1080" w:hanging="360"/>
      </w:pPr>
      <w:rPr>
        <w:rFonts w:hint="default"/>
      </w:rPr>
    </w:lvl>
  </w:abstractNum>
  <w:num w:numId="1">
    <w:abstractNumId w:val="6"/>
  </w:num>
  <w:num w:numId="2">
    <w:abstractNumId w:val="4"/>
  </w:num>
  <w:num w:numId="3">
    <w:abstractNumId w:val="7"/>
  </w:num>
  <w:num w:numId="4">
    <w:abstractNumId w:val="5"/>
  </w:num>
  <w:num w:numId="5">
    <w:abstractNumId w:val="3"/>
  </w:num>
  <w:num w:numId="6">
    <w:abstractNumId w:val="2"/>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33"/>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354D51"/>
    <w:rsid w:val="0000324C"/>
    <w:rsid w:val="00003E06"/>
    <w:rsid w:val="00007689"/>
    <w:rsid w:val="00010A58"/>
    <w:rsid w:val="00021150"/>
    <w:rsid w:val="0002503E"/>
    <w:rsid w:val="00026761"/>
    <w:rsid w:val="0003285E"/>
    <w:rsid w:val="000334CB"/>
    <w:rsid w:val="0003542F"/>
    <w:rsid w:val="00055D04"/>
    <w:rsid w:val="0005660F"/>
    <w:rsid w:val="000566B8"/>
    <w:rsid w:val="00060F3F"/>
    <w:rsid w:val="000702AD"/>
    <w:rsid w:val="00083760"/>
    <w:rsid w:val="000955D9"/>
    <w:rsid w:val="000A6A5E"/>
    <w:rsid w:val="000B5610"/>
    <w:rsid w:val="000C05CC"/>
    <w:rsid w:val="000D3829"/>
    <w:rsid w:val="000D3AAB"/>
    <w:rsid w:val="000E00E0"/>
    <w:rsid w:val="000E762F"/>
    <w:rsid w:val="00100C71"/>
    <w:rsid w:val="00106A61"/>
    <w:rsid w:val="001071D7"/>
    <w:rsid w:val="00115404"/>
    <w:rsid w:val="001157B5"/>
    <w:rsid w:val="00116B76"/>
    <w:rsid w:val="0012788C"/>
    <w:rsid w:val="00131B23"/>
    <w:rsid w:val="00140C7B"/>
    <w:rsid w:val="0014105C"/>
    <w:rsid w:val="001433A4"/>
    <w:rsid w:val="0015395D"/>
    <w:rsid w:val="001610BF"/>
    <w:rsid w:val="001769AD"/>
    <w:rsid w:val="00191EF8"/>
    <w:rsid w:val="001A7A90"/>
    <w:rsid w:val="001B0931"/>
    <w:rsid w:val="001B2935"/>
    <w:rsid w:val="001C4C89"/>
    <w:rsid w:val="001C6680"/>
    <w:rsid w:val="001C6A97"/>
    <w:rsid w:val="001D1E18"/>
    <w:rsid w:val="001D6F7A"/>
    <w:rsid w:val="001F1AD5"/>
    <w:rsid w:val="00200DF8"/>
    <w:rsid w:val="002027E0"/>
    <w:rsid w:val="00206854"/>
    <w:rsid w:val="00212B1D"/>
    <w:rsid w:val="00217697"/>
    <w:rsid w:val="00220DCD"/>
    <w:rsid w:val="00235458"/>
    <w:rsid w:val="002401F4"/>
    <w:rsid w:val="002405E9"/>
    <w:rsid w:val="0025369E"/>
    <w:rsid w:val="00253D86"/>
    <w:rsid w:val="002547ED"/>
    <w:rsid w:val="00262471"/>
    <w:rsid w:val="00264F5A"/>
    <w:rsid w:val="00283186"/>
    <w:rsid w:val="002845C9"/>
    <w:rsid w:val="00285DF6"/>
    <w:rsid w:val="00287A6F"/>
    <w:rsid w:val="00297A65"/>
    <w:rsid w:val="002A00C6"/>
    <w:rsid w:val="002A43E9"/>
    <w:rsid w:val="002A7493"/>
    <w:rsid w:val="002B0CFD"/>
    <w:rsid w:val="002B134F"/>
    <w:rsid w:val="002C3431"/>
    <w:rsid w:val="002F0CDA"/>
    <w:rsid w:val="00301211"/>
    <w:rsid w:val="003012CE"/>
    <w:rsid w:val="0031415F"/>
    <w:rsid w:val="003149A3"/>
    <w:rsid w:val="003154C9"/>
    <w:rsid w:val="00322278"/>
    <w:rsid w:val="00336950"/>
    <w:rsid w:val="00351B55"/>
    <w:rsid w:val="00354D51"/>
    <w:rsid w:val="00361277"/>
    <w:rsid w:val="003664E9"/>
    <w:rsid w:val="003679A1"/>
    <w:rsid w:val="0039329D"/>
    <w:rsid w:val="00393921"/>
    <w:rsid w:val="003A2BBE"/>
    <w:rsid w:val="003A56D3"/>
    <w:rsid w:val="003A57F5"/>
    <w:rsid w:val="003B4AF3"/>
    <w:rsid w:val="003C433E"/>
    <w:rsid w:val="003D3319"/>
    <w:rsid w:val="003D682C"/>
    <w:rsid w:val="003E2517"/>
    <w:rsid w:val="003E274E"/>
    <w:rsid w:val="003E7167"/>
    <w:rsid w:val="003F1FDA"/>
    <w:rsid w:val="0040081E"/>
    <w:rsid w:val="004129CE"/>
    <w:rsid w:val="004304CD"/>
    <w:rsid w:val="00431F9A"/>
    <w:rsid w:val="0046622B"/>
    <w:rsid w:val="00474EC3"/>
    <w:rsid w:val="00475AC3"/>
    <w:rsid w:val="00475FD2"/>
    <w:rsid w:val="004769F3"/>
    <w:rsid w:val="004A358E"/>
    <w:rsid w:val="004A5CC2"/>
    <w:rsid w:val="004B2EA0"/>
    <w:rsid w:val="004D3353"/>
    <w:rsid w:val="004D7D6D"/>
    <w:rsid w:val="004E7185"/>
    <w:rsid w:val="004F2C83"/>
    <w:rsid w:val="005079BC"/>
    <w:rsid w:val="00527896"/>
    <w:rsid w:val="00540E47"/>
    <w:rsid w:val="005477F4"/>
    <w:rsid w:val="005578C7"/>
    <w:rsid w:val="00557E53"/>
    <w:rsid w:val="00561A54"/>
    <w:rsid w:val="00586C49"/>
    <w:rsid w:val="0058709B"/>
    <w:rsid w:val="00591A57"/>
    <w:rsid w:val="00594B39"/>
    <w:rsid w:val="005A27D6"/>
    <w:rsid w:val="005A3831"/>
    <w:rsid w:val="005A7B5E"/>
    <w:rsid w:val="005B7DC7"/>
    <w:rsid w:val="005C4298"/>
    <w:rsid w:val="005D0C10"/>
    <w:rsid w:val="005D565C"/>
    <w:rsid w:val="005D601C"/>
    <w:rsid w:val="005E56D2"/>
    <w:rsid w:val="005F4EBA"/>
    <w:rsid w:val="006169D6"/>
    <w:rsid w:val="00621B44"/>
    <w:rsid w:val="00625144"/>
    <w:rsid w:val="00641112"/>
    <w:rsid w:val="0064493C"/>
    <w:rsid w:val="006455A5"/>
    <w:rsid w:val="006530F1"/>
    <w:rsid w:val="00660E6C"/>
    <w:rsid w:val="006629CE"/>
    <w:rsid w:val="006659E7"/>
    <w:rsid w:val="00665F0E"/>
    <w:rsid w:val="00673CCF"/>
    <w:rsid w:val="006861AE"/>
    <w:rsid w:val="00694A87"/>
    <w:rsid w:val="00695698"/>
    <w:rsid w:val="006B0849"/>
    <w:rsid w:val="006B2581"/>
    <w:rsid w:val="006B4B37"/>
    <w:rsid w:val="006C1E6D"/>
    <w:rsid w:val="006C63F7"/>
    <w:rsid w:val="006E3330"/>
    <w:rsid w:val="006E6D6F"/>
    <w:rsid w:val="006F2A4E"/>
    <w:rsid w:val="00700EB2"/>
    <w:rsid w:val="0070191E"/>
    <w:rsid w:val="0070364B"/>
    <w:rsid w:val="0070684B"/>
    <w:rsid w:val="007209B0"/>
    <w:rsid w:val="00734559"/>
    <w:rsid w:val="00747D43"/>
    <w:rsid w:val="00750656"/>
    <w:rsid w:val="00756F13"/>
    <w:rsid w:val="0076289C"/>
    <w:rsid w:val="007629D3"/>
    <w:rsid w:val="00762C00"/>
    <w:rsid w:val="00764593"/>
    <w:rsid w:val="0076465C"/>
    <w:rsid w:val="0076482D"/>
    <w:rsid w:val="00790348"/>
    <w:rsid w:val="007B1BEB"/>
    <w:rsid w:val="007C0D95"/>
    <w:rsid w:val="007D469E"/>
    <w:rsid w:val="007D638E"/>
    <w:rsid w:val="007D7D44"/>
    <w:rsid w:val="007E042B"/>
    <w:rsid w:val="007E3A2B"/>
    <w:rsid w:val="007F6E92"/>
    <w:rsid w:val="008047DE"/>
    <w:rsid w:val="008108B5"/>
    <w:rsid w:val="00812CB6"/>
    <w:rsid w:val="0082053F"/>
    <w:rsid w:val="00823093"/>
    <w:rsid w:val="00824A69"/>
    <w:rsid w:val="008356E2"/>
    <w:rsid w:val="00842141"/>
    <w:rsid w:val="008444C7"/>
    <w:rsid w:val="00844C41"/>
    <w:rsid w:val="00846342"/>
    <w:rsid w:val="00850704"/>
    <w:rsid w:val="00854BB5"/>
    <w:rsid w:val="008655C0"/>
    <w:rsid w:val="00865B7C"/>
    <w:rsid w:val="008662F8"/>
    <w:rsid w:val="0087361C"/>
    <w:rsid w:val="008B07AD"/>
    <w:rsid w:val="008B1D20"/>
    <w:rsid w:val="008B6206"/>
    <w:rsid w:val="008C3A7A"/>
    <w:rsid w:val="008E7AC2"/>
    <w:rsid w:val="008F19D5"/>
    <w:rsid w:val="008F1DB7"/>
    <w:rsid w:val="008F5D6E"/>
    <w:rsid w:val="00900358"/>
    <w:rsid w:val="00912169"/>
    <w:rsid w:val="009150BA"/>
    <w:rsid w:val="00915D4F"/>
    <w:rsid w:val="009161E3"/>
    <w:rsid w:val="0092037A"/>
    <w:rsid w:val="00922330"/>
    <w:rsid w:val="009246AD"/>
    <w:rsid w:val="009301FB"/>
    <w:rsid w:val="00933212"/>
    <w:rsid w:val="009353D0"/>
    <w:rsid w:val="00937224"/>
    <w:rsid w:val="0095206E"/>
    <w:rsid w:val="00963D2C"/>
    <w:rsid w:val="00965F40"/>
    <w:rsid w:val="00966372"/>
    <w:rsid w:val="00970CA5"/>
    <w:rsid w:val="00970E9E"/>
    <w:rsid w:val="009748FE"/>
    <w:rsid w:val="00986C69"/>
    <w:rsid w:val="00991531"/>
    <w:rsid w:val="009A4D1B"/>
    <w:rsid w:val="009A7319"/>
    <w:rsid w:val="009B182F"/>
    <w:rsid w:val="009B3FF9"/>
    <w:rsid w:val="009B721A"/>
    <w:rsid w:val="009B79EC"/>
    <w:rsid w:val="009D02DC"/>
    <w:rsid w:val="009E5AC8"/>
    <w:rsid w:val="009F1DF1"/>
    <w:rsid w:val="009F2E7E"/>
    <w:rsid w:val="009F4E62"/>
    <w:rsid w:val="00A02D62"/>
    <w:rsid w:val="00A06E53"/>
    <w:rsid w:val="00A20A24"/>
    <w:rsid w:val="00A20E1E"/>
    <w:rsid w:val="00A20EB5"/>
    <w:rsid w:val="00A26335"/>
    <w:rsid w:val="00A30006"/>
    <w:rsid w:val="00A43CC9"/>
    <w:rsid w:val="00A53E56"/>
    <w:rsid w:val="00A55B5D"/>
    <w:rsid w:val="00A6755A"/>
    <w:rsid w:val="00A764EF"/>
    <w:rsid w:val="00A80792"/>
    <w:rsid w:val="00A835CB"/>
    <w:rsid w:val="00A868BE"/>
    <w:rsid w:val="00AA6FD7"/>
    <w:rsid w:val="00AB30CE"/>
    <w:rsid w:val="00AB34C5"/>
    <w:rsid w:val="00AB4433"/>
    <w:rsid w:val="00AB5B92"/>
    <w:rsid w:val="00AC2BB5"/>
    <w:rsid w:val="00AC5A2E"/>
    <w:rsid w:val="00AD0B02"/>
    <w:rsid w:val="00AD1223"/>
    <w:rsid w:val="00AD1CF1"/>
    <w:rsid w:val="00AD20C5"/>
    <w:rsid w:val="00AD6453"/>
    <w:rsid w:val="00AE15D6"/>
    <w:rsid w:val="00AF3033"/>
    <w:rsid w:val="00AF365A"/>
    <w:rsid w:val="00B034F9"/>
    <w:rsid w:val="00B05BE9"/>
    <w:rsid w:val="00B076A3"/>
    <w:rsid w:val="00B27434"/>
    <w:rsid w:val="00B41122"/>
    <w:rsid w:val="00B631B7"/>
    <w:rsid w:val="00B67133"/>
    <w:rsid w:val="00B73527"/>
    <w:rsid w:val="00B7618D"/>
    <w:rsid w:val="00B81060"/>
    <w:rsid w:val="00B83EBF"/>
    <w:rsid w:val="00B86BFC"/>
    <w:rsid w:val="00B95C53"/>
    <w:rsid w:val="00BA0797"/>
    <w:rsid w:val="00BA327C"/>
    <w:rsid w:val="00BC403B"/>
    <w:rsid w:val="00BC709A"/>
    <w:rsid w:val="00BD00B3"/>
    <w:rsid w:val="00BD2C44"/>
    <w:rsid w:val="00BD3387"/>
    <w:rsid w:val="00BD4044"/>
    <w:rsid w:val="00BD4D40"/>
    <w:rsid w:val="00BD692E"/>
    <w:rsid w:val="00BE2426"/>
    <w:rsid w:val="00C045DE"/>
    <w:rsid w:val="00C076B3"/>
    <w:rsid w:val="00C10EE0"/>
    <w:rsid w:val="00C12556"/>
    <w:rsid w:val="00C318A5"/>
    <w:rsid w:val="00C32EB7"/>
    <w:rsid w:val="00C36E55"/>
    <w:rsid w:val="00C46AE7"/>
    <w:rsid w:val="00C47C15"/>
    <w:rsid w:val="00C55C4D"/>
    <w:rsid w:val="00C93845"/>
    <w:rsid w:val="00CA17B4"/>
    <w:rsid w:val="00CA2A14"/>
    <w:rsid w:val="00CA6299"/>
    <w:rsid w:val="00CB0424"/>
    <w:rsid w:val="00CB33FB"/>
    <w:rsid w:val="00CC21FC"/>
    <w:rsid w:val="00CD1F5F"/>
    <w:rsid w:val="00CD74CC"/>
    <w:rsid w:val="00CD760C"/>
    <w:rsid w:val="00CE2E8E"/>
    <w:rsid w:val="00CE56F1"/>
    <w:rsid w:val="00CE6AC8"/>
    <w:rsid w:val="00CF16AB"/>
    <w:rsid w:val="00CF687B"/>
    <w:rsid w:val="00D1297B"/>
    <w:rsid w:val="00D2061A"/>
    <w:rsid w:val="00D32E24"/>
    <w:rsid w:val="00D43767"/>
    <w:rsid w:val="00D46817"/>
    <w:rsid w:val="00D52100"/>
    <w:rsid w:val="00D526B4"/>
    <w:rsid w:val="00D55A37"/>
    <w:rsid w:val="00D56997"/>
    <w:rsid w:val="00D614C2"/>
    <w:rsid w:val="00D657CF"/>
    <w:rsid w:val="00D730C6"/>
    <w:rsid w:val="00D75F71"/>
    <w:rsid w:val="00D77FD9"/>
    <w:rsid w:val="00D83ED0"/>
    <w:rsid w:val="00D93A22"/>
    <w:rsid w:val="00DA187E"/>
    <w:rsid w:val="00DA77A9"/>
    <w:rsid w:val="00DB2F38"/>
    <w:rsid w:val="00DD6A72"/>
    <w:rsid w:val="00DD6DBB"/>
    <w:rsid w:val="00DF4FB9"/>
    <w:rsid w:val="00DF7B6D"/>
    <w:rsid w:val="00E074F2"/>
    <w:rsid w:val="00E156EB"/>
    <w:rsid w:val="00E26220"/>
    <w:rsid w:val="00E30D71"/>
    <w:rsid w:val="00E3330B"/>
    <w:rsid w:val="00E50325"/>
    <w:rsid w:val="00E52CEB"/>
    <w:rsid w:val="00E56F0C"/>
    <w:rsid w:val="00E63F9A"/>
    <w:rsid w:val="00E76CAD"/>
    <w:rsid w:val="00E77940"/>
    <w:rsid w:val="00E91482"/>
    <w:rsid w:val="00E942D2"/>
    <w:rsid w:val="00E96302"/>
    <w:rsid w:val="00EA03C5"/>
    <w:rsid w:val="00EA4131"/>
    <w:rsid w:val="00EB0689"/>
    <w:rsid w:val="00EB1ECE"/>
    <w:rsid w:val="00EB394C"/>
    <w:rsid w:val="00EE37A0"/>
    <w:rsid w:val="00EF75E1"/>
    <w:rsid w:val="00F02446"/>
    <w:rsid w:val="00F06741"/>
    <w:rsid w:val="00F125A2"/>
    <w:rsid w:val="00F134F5"/>
    <w:rsid w:val="00F16BE3"/>
    <w:rsid w:val="00F44996"/>
    <w:rsid w:val="00F454DF"/>
    <w:rsid w:val="00F46FE2"/>
    <w:rsid w:val="00F47B85"/>
    <w:rsid w:val="00F51F0F"/>
    <w:rsid w:val="00F546E0"/>
    <w:rsid w:val="00F547F3"/>
    <w:rsid w:val="00F5645C"/>
    <w:rsid w:val="00F56F17"/>
    <w:rsid w:val="00F61590"/>
    <w:rsid w:val="00F64421"/>
    <w:rsid w:val="00F65921"/>
    <w:rsid w:val="00F66C48"/>
    <w:rsid w:val="00F93B7E"/>
    <w:rsid w:val="00F95533"/>
    <w:rsid w:val="00FA65CF"/>
    <w:rsid w:val="00FA7E4D"/>
    <w:rsid w:val="00FB3391"/>
    <w:rsid w:val="00FC109B"/>
    <w:rsid w:val="00FD0A38"/>
    <w:rsid w:val="00FD32AA"/>
    <w:rsid w:val="00FE1302"/>
    <w:rsid w:val="00FE2F5A"/>
    <w:rsid w:val="00FE6219"/>
    <w:rsid w:val="00FF550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5FCCEC1"/>
  <w15:docId w15:val="{D5CCD8F4-D740-AB43-8A24-43BF170D4F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ew York" w:eastAsia="Times New Roman" w:hAnsi="New York"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spacing w:after="200"/>
      <w:jc w:val="both"/>
    </w:pPr>
    <w:rPr>
      <w:rFonts w:ascii="Times" w:hAnsi="Time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rPr>
      <w:color w:val="800080"/>
      <w:u w:val="single"/>
    </w:rPr>
  </w:style>
  <w:style w:type="paragraph" w:styleId="BodyText">
    <w:name w:val="Body Text"/>
    <w:basedOn w:val="Normal"/>
    <w:pPr>
      <w:jc w:val="center"/>
    </w:pPr>
    <w:rPr>
      <w:b/>
      <w:sz w:val="40"/>
    </w:rPr>
  </w:style>
  <w:style w:type="paragraph" w:styleId="FootnoteText">
    <w:name w:val="footnote text"/>
    <w:basedOn w:val="Normal"/>
    <w:next w:val="TFReferencesSection"/>
    <w:semiHidden/>
  </w:style>
  <w:style w:type="paragraph" w:customStyle="1" w:styleId="TFReferencesSection">
    <w:name w:val="TF_References_Section"/>
    <w:basedOn w:val="Normal"/>
    <w:pPr>
      <w:spacing w:line="480" w:lineRule="auto"/>
      <w:ind w:firstLine="187"/>
    </w:pPr>
  </w:style>
  <w:style w:type="paragraph" w:customStyle="1" w:styleId="TAMainText">
    <w:name w:val="TA_Main_Text"/>
    <w:basedOn w:val="Normal"/>
    <w:pPr>
      <w:spacing w:after="0" w:line="480" w:lineRule="auto"/>
      <w:ind w:firstLine="202"/>
    </w:pPr>
  </w:style>
  <w:style w:type="paragraph" w:customStyle="1" w:styleId="BATitle">
    <w:name w:val="BA_Title"/>
    <w:basedOn w:val="Normal"/>
    <w:next w:val="BBAuthorName"/>
    <w:pPr>
      <w:spacing w:before="720" w:after="360" w:line="480" w:lineRule="auto"/>
      <w:jc w:val="center"/>
    </w:pPr>
    <w:rPr>
      <w:rFonts w:ascii="Times New Roman" w:hAnsi="Times New Roman"/>
      <w:sz w:val="44"/>
    </w:rPr>
  </w:style>
  <w:style w:type="paragraph" w:customStyle="1" w:styleId="BBAuthorName">
    <w:name w:val="BB_Author_Name"/>
    <w:basedOn w:val="Normal"/>
    <w:next w:val="BCAuthorAddress"/>
    <w:pPr>
      <w:spacing w:after="240" w:line="480" w:lineRule="auto"/>
      <w:jc w:val="center"/>
    </w:pPr>
    <w:rPr>
      <w:i/>
    </w:rPr>
  </w:style>
  <w:style w:type="paragraph" w:customStyle="1" w:styleId="BCAuthorAddress">
    <w:name w:val="BC_Author_Address"/>
    <w:basedOn w:val="Normal"/>
    <w:next w:val="BIEmailAddress"/>
    <w:pPr>
      <w:spacing w:after="240" w:line="480" w:lineRule="auto"/>
      <w:jc w:val="center"/>
    </w:pPr>
  </w:style>
  <w:style w:type="paragraph" w:customStyle="1" w:styleId="BIEmailAddress">
    <w:name w:val="BI_Email_Address"/>
    <w:basedOn w:val="Normal"/>
    <w:next w:val="AIReceivedDate"/>
    <w:pPr>
      <w:spacing w:line="480" w:lineRule="auto"/>
    </w:pPr>
  </w:style>
  <w:style w:type="paragraph" w:customStyle="1" w:styleId="AIReceivedDate">
    <w:name w:val="AI_Received_Date"/>
    <w:basedOn w:val="Normal"/>
    <w:next w:val="BDAbstract"/>
    <w:pPr>
      <w:spacing w:after="240" w:line="480" w:lineRule="auto"/>
    </w:pPr>
    <w:rPr>
      <w:b/>
    </w:rPr>
  </w:style>
  <w:style w:type="paragraph" w:customStyle="1" w:styleId="BDAbstract">
    <w:name w:val="BD_Abstract"/>
    <w:basedOn w:val="Normal"/>
    <w:next w:val="TAMainText"/>
    <w:pPr>
      <w:spacing w:before="360" w:after="360" w:line="480" w:lineRule="auto"/>
    </w:pPr>
  </w:style>
  <w:style w:type="paragraph" w:customStyle="1" w:styleId="TDAcknowledgments">
    <w:name w:val="TD_Acknowledgments"/>
    <w:basedOn w:val="Normal"/>
    <w:next w:val="Normal"/>
    <w:pPr>
      <w:spacing w:before="200" w:line="480" w:lineRule="auto"/>
      <w:ind w:firstLine="202"/>
    </w:pPr>
  </w:style>
  <w:style w:type="paragraph" w:customStyle="1" w:styleId="TESupportingInformation">
    <w:name w:val="TE_Supporting_Information"/>
    <w:basedOn w:val="Normal"/>
    <w:next w:val="Normal"/>
    <w:pPr>
      <w:spacing w:line="480" w:lineRule="auto"/>
      <w:ind w:firstLine="187"/>
    </w:pPr>
  </w:style>
  <w:style w:type="paragraph" w:customStyle="1" w:styleId="VCSchemeTitle">
    <w:name w:val="VC_Scheme_Title"/>
    <w:basedOn w:val="Normal"/>
    <w:next w:val="Normal"/>
    <w:pPr>
      <w:spacing w:line="480" w:lineRule="auto"/>
    </w:pPr>
  </w:style>
  <w:style w:type="paragraph" w:customStyle="1" w:styleId="VDTableTitle">
    <w:name w:val="VD_Table_Title"/>
    <w:basedOn w:val="Normal"/>
    <w:next w:val="Normal"/>
    <w:pPr>
      <w:spacing w:line="480" w:lineRule="auto"/>
    </w:pPr>
  </w:style>
  <w:style w:type="paragraph" w:customStyle="1" w:styleId="VAFigureCaption">
    <w:name w:val="VA_Figure_Caption"/>
    <w:basedOn w:val="Normal"/>
    <w:next w:val="Normal"/>
    <w:pPr>
      <w:spacing w:line="480" w:lineRule="auto"/>
    </w:pPr>
  </w:style>
  <w:style w:type="paragraph" w:customStyle="1" w:styleId="VBChartTitle">
    <w:name w:val="VB_Chart_Title"/>
    <w:basedOn w:val="Normal"/>
    <w:next w:val="Normal"/>
    <w:pPr>
      <w:spacing w:line="480" w:lineRule="auto"/>
    </w:pPr>
  </w:style>
  <w:style w:type="paragraph" w:customStyle="1" w:styleId="FETableFootnote">
    <w:name w:val="FE_Table_Footnote"/>
    <w:basedOn w:val="Normal"/>
    <w:next w:val="Normal"/>
    <w:pPr>
      <w:ind w:firstLine="187"/>
    </w:pPr>
  </w:style>
  <w:style w:type="paragraph" w:customStyle="1" w:styleId="FCChartFootnote">
    <w:name w:val="FC_Chart_Footnote"/>
    <w:basedOn w:val="Normal"/>
    <w:next w:val="Normal"/>
    <w:pPr>
      <w:ind w:firstLine="187"/>
    </w:pPr>
  </w:style>
  <w:style w:type="paragraph" w:customStyle="1" w:styleId="FDSchemeFootnote">
    <w:name w:val="FD_Scheme_Footnote"/>
    <w:basedOn w:val="Normal"/>
    <w:next w:val="Normal"/>
    <w:pPr>
      <w:ind w:firstLine="187"/>
    </w:pPr>
  </w:style>
  <w:style w:type="paragraph" w:customStyle="1" w:styleId="TCTableBody">
    <w:name w:val="TC_Table_Body"/>
    <w:basedOn w:val="Normal"/>
  </w:style>
  <w:style w:type="paragraph" w:customStyle="1" w:styleId="AFTitleRunningHead">
    <w:name w:val="AF_Title_Running_Head"/>
    <w:basedOn w:val="Normal"/>
    <w:next w:val="TAMainText"/>
    <w:pPr>
      <w:spacing w:line="480" w:lineRule="auto"/>
    </w:pPr>
  </w:style>
  <w:style w:type="paragraph" w:customStyle="1" w:styleId="BEAuthorBiography">
    <w:name w:val="BE_Author_Biography"/>
    <w:basedOn w:val="Normal"/>
    <w:pPr>
      <w:spacing w:line="480" w:lineRule="auto"/>
    </w:pPr>
  </w:style>
  <w:style w:type="paragraph" w:customStyle="1" w:styleId="FACorrespondingAuthorFootnote">
    <w:name w:val="FA_Corresponding_Author_Footnote"/>
    <w:basedOn w:val="Normal"/>
    <w:next w:val="TAMainText"/>
    <w:pPr>
      <w:spacing w:line="480" w:lineRule="auto"/>
    </w:pPr>
  </w:style>
  <w:style w:type="paragraph" w:customStyle="1" w:styleId="SNSynopsisTOC">
    <w:name w:val="SN_Synopsis_TOC"/>
    <w:basedOn w:val="Normal"/>
    <w:pPr>
      <w:spacing w:line="480" w:lineRule="auto"/>
    </w:pPr>
  </w:style>
  <w:style w:type="character" w:styleId="Hyperlink">
    <w:name w:val="Hyperlink"/>
    <w:rPr>
      <w:color w:val="0000FF"/>
      <w:u w:val="single"/>
    </w:rPr>
  </w:style>
  <w:style w:type="paragraph" w:styleId="Footer">
    <w:name w:val="footer"/>
    <w:basedOn w:val="Normal"/>
    <w:pPr>
      <w:tabs>
        <w:tab w:val="center" w:pos="4320"/>
        <w:tab w:val="right" w:pos="8640"/>
      </w:tabs>
    </w:pPr>
  </w:style>
  <w:style w:type="paragraph" w:customStyle="1" w:styleId="BGKeywords">
    <w:name w:val="BG_Keywords"/>
    <w:basedOn w:val="Normal"/>
    <w:pPr>
      <w:spacing w:line="480" w:lineRule="auto"/>
    </w:pPr>
  </w:style>
  <w:style w:type="paragraph" w:customStyle="1" w:styleId="BHBriefs">
    <w:name w:val="BH_Briefs"/>
    <w:basedOn w:val="Normal"/>
    <w:pPr>
      <w:spacing w:line="480" w:lineRule="auto"/>
    </w:pPr>
  </w:style>
  <w:style w:type="character" w:styleId="PageNumber">
    <w:name w:val="page number"/>
    <w:basedOn w:val="DefaultParagraphFont"/>
  </w:style>
  <w:style w:type="paragraph" w:styleId="BalloonText">
    <w:name w:val="Balloon Text"/>
    <w:basedOn w:val="Normal"/>
    <w:semiHidden/>
    <w:rsid w:val="00E96302"/>
    <w:rPr>
      <w:rFonts w:ascii="Tahoma" w:hAnsi="Tahoma" w:cs="Tahoma"/>
      <w:sz w:val="16"/>
      <w:szCs w:val="16"/>
    </w:rPr>
  </w:style>
  <w:style w:type="paragraph" w:customStyle="1" w:styleId="StyleFACorrespondingAuthorFootnote7pt">
    <w:name w:val="Style FA_Corresponding_Author_Footnote + 7 pt"/>
    <w:basedOn w:val="Normal"/>
    <w:next w:val="BGKeywords"/>
    <w:link w:val="StyleFACorrespondingAuthorFootnote7ptChar"/>
    <w:autoRedefine/>
    <w:rsid w:val="00C10EE0"/>
    <w:pPr>
      <w:spacing w:after="0"/>
      <w:jc w:val="left"/>
    </w:pPr>
    <w:rPr>
      <w:rFonts w:ascii="Arno Pro" w:hAnsi="Arno Pro"/>
      <w:kern w:val="20"/>
      <w:sz w:val="18"/>
    </w:rPr>
  </w:style>
  <w:style w:type="character" w:customStyle="1" w:styleId="StyleFACorrespondingAuthorFootnote7ptChar">
    <w:name w:val="Style FA_Corresponding_Author_Footnote + 7 pt Char"/>
    <w:link w:val="StyleFACorrespondingAuthorFootnote7pt"/>
    <w:rsid w:val="00C10EE0"/>
    <w:rPr>
      <w:rFonts w:ascii="Arno Pro" w:hAnsi="Arno Pro"/>
      <w:kern w:val="20"/>
      <w:sz w:val="18"/>
    </w:rPr>
  </w:style>
  <w:style w:type="paragraph" w:customStyle="1" w:styleId="FAAuthorInfoSubtitle">
    <w:name w:val="FA_Author_Info_Subtitle"/>
    <w:basedOn w:val="Normal"/>
    <w:link w:val="FAAuthorInfoSubtitleChar"/>
    <w:autoRedefine/>
    <w:rsid w:val="00DD6DBB"/>
    <w:pPr>
      <w:spacing w:before="120" w:after="60" w:line="480" w:lineRule="auto"/>
      <w:jc w:val="left"/>
    </w:pPr>
    <w:rPr>
      <w:b/>
    </w:rPr>
  </w:style>
  <w:style w:type="character" w:customStyle="1" w:styleId="FAAuthorInfoSubtitleChar">
    <w:name w:val="FA_Author_Info_Subtitle Char"/>
    <w:link w:val="FAAuthorInfoSubtitle"/>
    <w:rsid w:val="00DD6DBB"/>
    <w:rPr>
      <w:rFonts w:ascii="Times" w:hAnsi="Times"/>
      <w:b/>
      <w:sz w:val="24"/>
    </w:rPr>
  </w:style>
  <w:style w:type="paragraph" w:customStyle="1" w:styleId="Default">
    <w:name w:val="Default"/>
    <w:rsid w:val="001A7A90"/>
    <w:pPr>
      <w:autoSpaceDE w:val="0"/>
      <w:autoSpaceDN w:val="0"/>
      <w:adjustRightInd w:val="0"/>
    </w:pPr>
    <w:rPr>
      <w:rFonts w:ascii="Symbol" w:hAnsi="Symbol" w:cs="Symbol"/>
      <w:color w:val="000000"/>
      <w:sz w:val="24"/>
      <w:szCs w:val="24"/>
    </w:rPr>
  </w:style>
  <w:style w:type="paragraph" w:styleId="Caption">
    <w:name w:val="caption"/>
    <w:basedOn w:val="Normal"/>
    <w:next w:val="Normal"/>
    <w:unhideWhenUsed/>
    <w:qFormat/>
    <w:rsid w:val="00B034F9"/>
    <w:rPr>
      <w:i/>
      <w:iCs/>
      <w:color w:val="1F497D" w:themeColor="text2"/>
      <w:sz w:val="18"/>
      <w:szCs w:val="18"/>
    </w:rPr>
  </w:style>
  <w:style w:type="character" w:styleId="PlaceholderText">
    <w:name w:val="Placeholder Text"/>
    <w:basedOn w:val="DefaultParagraphFont"/>
    <w:uiPriority w:val="99"/>
    <w:semiHidden/>
    <w:rsid w:val="005D601C"/>
    <w:rPr>
      <w:color w:val="808080"/>
    </w:rPr>
  </w:style>
  <w:style w:type="character" w:styleId="FootnoteReference">
    <w:name w:val="footnote reference"/>
    <w:basedOn w:val="DefaultParagraphFont"/>
    <w:semiHidden/>
    <w:unhideWhenUsed/>
    <w:rsid w:val="004B2EA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vijays/Documents/project/2_gold/paper/acstemplate_msw2011_jz_mac.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EF45CF-76C0-7F43-A823-BE16877366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acstemplate_msw2011_jz_mac.dotx</Template>
  <TotalTime>450</TotalTime>
  <Pages>13</Pages>
  <Words>5119</Words>
  <Characters>29180</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Template for Electronic Submission to ACS Journals</vt:lpstr>
    </vt:vector>
  </TitlesOfParts>
  <Company>ACS</Company>
  <LinksUpToDate>false</LinksUpToDate>
  <CharactersWithSpaces>34231</CharactersWithSpaces>
  <SharedDoc>false</SharedDoc>
  <HLinks>
    <vt:vector size="6" baseType="variant">
      <vt:variant>
        <vt:i4>4849748</vt:i4>
      </vt:variant>
      <vt:variant>
        <vt:i4>0</vt:i4>
      </vt:variant>
      <vt:variant>
        <vt:i4>0</vt:i4>
      </vt:variant>
      <vt:variant>
        <vt:i4>5</vt:i4>
      </vt:variant>
      <vt:variant>
        <vt:lpwstr>http://pubs.acs.org/page/4authors/index.html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Electronic Submission to ACS Journals</dc:title>
  <dc:subject/>
  <dc:creator>Microsoft Office User</dc:creator>
  <cp:keywords/>
  <cp:lastModifiedBy>Microsoft Office User</cp:lastModifiedBy>
  <cp:revision>305</cp:revision>
  <cp:lastPrinted>2008-06-11T21:33:00Z</cp:lastPrinted>
  <dcterms:created xsi:type="dcterms:W3CDTF">2020-02-03T09:23:00Z</dcterms:created>
  <dcterms:modified xsi:type="dcterms:W3CDTF">2020-02-11T14:50:00Z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8d7d102d-4f04-3e02-9711-f93862cb7869</vt:lpwstr>
  </property>
  <property fmtid="{D5CDD505-2E9C-101B-9397-08002B2CF9AE}" pid="24" name="Mendeley Citation Style_1">
    <vt:lpwstr>http://www.zotero.org/styles/nature</vt:lpwstr>
  </property>
</Properties>
</file>