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Real-Time Credit Card Fraud Detection</w:t>
      </w:r>
    </w:p>
    <w:p>
      <w:pPr>
        <w:spacing w:before="0" w:after="240"/>
      </w:pPr>
      <w:r>
        <w:rPr>
          <w:color w:val="5A6B7C"/>
          <w:sz w:val="24"/>
        </w:rPr>
        <w:t>Comprehensive Faculty Review Guide: Weeks 1 to 7 Roadmap</w:t>
        <w:br/>
        <w:t>Data Science &amp; Visualization (24ADI204) — Team 1</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968"/>
        <w:gridCol w:w="4968"/>
      </w:tblGrid>
      <w:tr>
        <w:tc>
          <w:tcPr>
            <w:tcW w:type="dxa" w:w="4968"/>
            <w:shd w:fill="F8FAFC"/>
            <w:tcMar>
              <w:top w:w="100" w:type="dxa"/>
              <w:bottom w:w="100" w:type="dxa"/>
              <w:left w:w="150" w:type="dxa"/>
              <w:right w:w="150" w:type="dxa"/>
            </w:tcMar>
          </w:tcPr>
          <w:p>
            <w:pPr>
              <w:spacing w:line="276" w:lineRule="auto"/>
            </w:pPr>
            <w:r>
              <w:rPr>
                <w:color w:val="334155"/>
                <w:sz w:val="19"/>
              </w:rPr>
              <w:t>👥 Team Members:</w:t>
              <w:br/>
              <w:t>• Sudarshini B (25BAD116) — Repo Owner</w:t>
              <w:br/>
              <w:t>• Suhani (25BAD119) — Lead Data Engineering</w:t>
              <w:br/>
              <w:t>• Shreya (25BAD105)</w:t>
              <w:br/>
              <w:t>• Thanesha V (25BAD125)</w:t>
            </w:r>
          </w:p>
        </w:tc>
        <w:tc>
          <w:tcPr>
            <w:tcW w:type="dxa" w:w="4968"/>
            <w:shd w:fill="F8FAFC"/>
            <w:tcMar>
              <w:top w:w="100" w:type="dxa"/>
              <w:bottom w:w="100" w:type="dxa"/>
              <w:left w:w="150" w:type="dxa"/>
              <w:right w:w="150" w:type="dxa"/>
            </w:tcMar>
          </w:tcPr>
          <w:p>
            <w:pPr>
              <w:spacing w:line="276" w:lineRule="auto"/>
            </w:pPr>
            <w:r>
              <w:rPr>
                <w:color w:val="334155"/>
                <w:sz w:val="19"/>
              </w:rPr>
              <w:t>🔗 GitHub Repository:</w:t>
              <w:br/>
              <w:t>https://github.com/sudarshinib2405-sys/24ADI204_DSV_Team1</w:t>
              <w:br/>
              <w:br/>
              <w:t>🗂 Dataset Scope:</w:t>
              <w:br/>
              <w:t>1,296,675 transactions · 23 features</w:t>
            </w:r>
          </w:p>
        </w:tc>
      </w:tr>
      <w:tr>
        <w:tc>
          <w:tcPr>
            <w:tcW w:type="dxa" w:w="4968"/>
            <w:shd w:fill="F8FAFC"/>
            <w:tcMar>
              <w:top w:w="100" w:type="dxa"/>
              <w:bottom w:w="100" w:type="dxa"/>
              <w:left w:w="150" w:type="dxa"/>
              <w:right w:w="150" w:type="dxa"/>
            </w:tcMar>
          </w:tcPr>
          <w:p>
            <w:pPr>
              <w:spacing w:line="276" w:lineRule="auto"/>
            </w:pPr>
          </w:p>
        </w:tc>
        <w:tc>
          <w:tcPr>
            <w:tcW w:type="dxa" w:w="4968"/>
            <w:shd w:fill="F8FAFC"/>
            <w:tcMar>
              <w:top w:w="100" w:type="dxa"/>
              <w:bottom w:w="100" w:type="dxa"/>
              <w:left w:w="150" w:type="dxa"/>
              <w:right w:w="150" w:type="dxa"/>
            </w:tcMar>
          </w:tcPr>
          <w:p>
            <w:pPr>
              <w:spacing w:line="276" w:lineRule="auto"/>
            </w:pP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36" w:space="0" w:color="1B365D"/>
              <w:top w:val="none"/>
              <w:right w:val="none"/>
              <w:bottom w:val="none"/>
            </w:tcBorders>
          </w:tcPr>
          <w:p>
            <w:pPr>
              <w:spacing w:before="0" w:after="0" w:line="276" w:lineRule="auto"/>
            </w:pPr>
            <w:r>
              <w:rPr>
                <w:b/>
                <w:color w:val="1B365D"/>
                <w:sz w:val="20"/>
              </w:rPr>
              <w:t xml:space="preserve">🎙️ 30-Second Faculty Elevator Pitch: </w:t>
            </w:r>
            <w:r>
              <w:rPr>
                <w:i/>
                <w:color w:val="2C3E50"/>
                <w:sz w:val="20"/>
              </w:rPr>
              <w:t>"In Weeks 1 to 4, we completed data hunting, quality verification, and deep EDA on 1.29M transactions. Our critical discovery was that 73.3% of all fraud cases are high-dollar IQR outliers, meaning deleting outliers would delete the crime itself. Fraud also surges 43x higher at night (10 PM – 3 AM).</w:t>
              <w:br/>
              <w:br/>
              <w:t>In Week 6 (Feature Engineering), we used Frequency Encoding for 478 job titles to avoid the Curse of Dimensionality, solved extreme amount skewness (+26.58 to -0.28) using a Log1p transformation, and standardized features with StandardScaler.</w:t>
              <w:br/>
              <w:br/>
              <w:t>In Week 7 (Dimensionality Reduction), ANOVA F-statistic ranking proved transaction amount (F=3,163) and night timing (F=2,777) are our strongest predictors, and PCA proved that 6 principal components retain 89.49% of all dataset variance."</w:t>
            </w:r>
          </w:p>
        </w:tc>
      </w:tr>
    </w:tbl>
    <w:p>
      <w:pPr>
        <w:spacing w:after="80"/>
      </w:pPr>
    </w:p>
    <w:p>
      <w:pPr>
        <w:pStyle w:val="Heading1"/>
        <w:spacing w:before="280" w:after="80"/>
      </w:pPr>
      <w:r>
        <w:rPr>
          <w:color w:val="1B365D"/>
        </w:rPr>
        <w:t>PART 1: Overall Summary of Weeks 1 to 4</w:t>
      </w:r>
    </w:p>
    <w:p>
      <w:r>
        <w:t>Weeks 1 through 4 established the foundational understanding, data integrity, and behavioral baselines of the 1.29-million-transaction corpus before feature engineering and modeling.</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1152"/>
            <w:shd w:fill="1B365D"/>
            <w:tcMar>
              <w:top w:w="120" w:type="dxa"/>
              <w:bottom w:w="120" w:type="dxa"/>
              <w:left w:w="140" w:type="dxa"/>
              <w:right w:w="140" w:type="dxa"/>
            </w:tcMar>
          </w:tcPr>
          <w:p>
            <w:pPr>
              <w:jc w:val="left"/>
            </w:pPr>
            <w:r>
              <w:rPr>
                <w:b/>
                <w:color w:val="FFFFFF"/>
                <w:sz w:val="19"/>
              </w:rPr>
              <w:t>Week</w:t>
            </w:r>
          </w:p>
        </w:tc>
        <w:tc>
          <w:tcPr>
            <w:tcW w:type="dxa" w:w="2592"/>
            <w:shd w:fill="1B365D"/>
            <w:tcMar>
              <w:top w:w="120" w:type="dxa"/>
              <w:bottom w:w="120" w:type="dxa"/>
              <w:left w:w="140" w:type="dxa"/>
              <w:right w:w="140" w:type="dxa"/>
            </w:tcMar>
          </w:tcPr>
          <w:p>
            <w:pPr>
              <w:jc w:val="left"/>
            </w:pPr>
            <w:r>
              <w:rPr>
                <w:b/>
                <w:color w:val="FFFFFF"/>
                <w:sz w:val="19"/>
              </w:rPr>
              <w:t>Milestone &amp; Focus</w:t>
            </w:r>
          </w:p>
        </w:tc>
        <w:tc>
          <w:tcPr>
            <w:tcW w:type="dxa" w:w="2736"/>
            <w:shd w:fill="1B365D"/>
            <w:tcMar>
              <w:top w:w="120" w:type="dxa"/>
              <w:bottom w:w="120" w:type="dxa"/>
              <w:left w:w="140" w:type="dxa"/>
              <w:right w:w="140" w:type="dxa"/>
            </w:tcMar>
          </w:tcPr>
          <w:p>
            <w:pPr>
              <w:jc w:val="left"/>
            </w:pPr>
            <w:r>
              <w:rPr>
                <w:b/>
                <w:color w:val="FFFFFF"/>
                <w:sz w:val="19"/>
              </w:rPr>
              <w:t>Primary Techniques</w:t>
            </w:r>
          </w:p>
        </w:tc>
        <w:tc>
          <w:tcPr>
            <w:tcW w:type="dxa" w:w="3312"/>
            <w:shd w:fill="1B365D"/>
            <w:tcMar>
              <w:top w:w="120" w:type="dxa"/>
              <w:bottom w:w="120" w:type="dxa"/>
              <w:left w:w="140" w:type="dxa"/>
              <w:right w:w="140" w:type="dxa"/>
            </w:tcMar>
          </w:tcPr>
          <w:p>
            <w:pPr>
              <w:jc w:val="left"/>
            </w:pPr>
            <w:r>
              <w:rPr>
                <w:b/>
                <w:color w:val="FFFFFF"/>
                <w:sz w:val="19"/>
              </w:rPr>
              <w:t>Core Findings &amp; Faculty Takeaways</w:t>
            </w:r>
          </w:p>
        </w:tc>
      </w:tr>
      <w:tr>
        <w:tc>
          <w:tcPr>
            <w:tcW w:type="dxa" w:w="1152"/>
            <w:shd w:fill="FFFFFF"/>
            <w:tcMar>
              <w:top w:w="90" w:type="dxa"/>
              <w:bottom w:w="90" w:type="dxa"/>
              <w:left w:w="140" w:type="dxa"/>
              <w:right w:w="140" w:type="dxa"/>
            </w:tcMar>
          </w:tcPr>
          <w:p>
            <w:pPr>
              <w:jc w:val="left"/>
            </w:pPr>
            <w:r>
              <w:rPr>
                <w:color w:val="2C3E50"/>
                <w:sz w:val="19"/>
              </w:rPr>
              <w:t>Week 1</w:t>
            </w:r>
          </w:p>
        </w:tc>
        <w:tc>
          <w:tcPr>
            <w:tcW w:type="dxa" w:w="2592"/>
            <w:shd w:fill="FFFFFF"/>
            <w:tcMar>
              <w:top w:w="90" w:type="dxa"/>
              <w:bottom w:w="90" w:type="dxa"/>
              <w:left w:w="140" w:type="dxa"/>
              <w:right w:w="140" w:type="dxa"/>
            </w:tcMar>
          </w:tcPr>
          <w:p>
            <w:pPr>
              <w:jc w:val="left"/>
            </w:pPr>
            <w:r>
              <w:rPr>
                <w:color w:val="2C3E50"/>
                <w:sz w:val="19"/>
              </w:rPr>
              <w:t>Data Hunting &amp; Environment Setup</w:t>
            </w:r>
          </w:p>
        </w:tc>
        <w:tc>
          <w:tcPr>
            <w:tcW w:type="dxa" w:w="2736"/>
            <w:shd w:fill="FFFFFF"/>
            <w:tcMar>
              <w:top w:w="90" w:type="dxa"/>
              <w:bottom w:w="90" w:type="dxa"/>
              <w:left w:w="140" w:type="dxa"/>
              <w:right w:w="140" w:type="dxa"/>
            </w:tcMar>
          </w:tcPr>
          <w:p>
            <w:pPr>
              <w:jc w:val="left"/>
            </w:pPr>
            <w:r>
              <w:rPr>
                <w:color w:val="2C3E50"/>
                <w:sz w:val="19"/>
              </w:rPr>
              <w:t>• Dataset acquisition (Kaggle)</w:t>
              <w:br/>
              <w:t>• Git LFS configuration</w:t>
              <w:br/>
              <w:t>• Pandas / NumPy environment</w:t>
            </w:r>
          </w:p>
        </w:tc>
        <w:tc>
          <w:tcPr>
            <w:tcW w:type="dxa" w:w="3312"/>
            <w:shd w:fill="FFFFFF"/>
            <w:tcMar>
              <w:top w:w="90" w:type="dxa"/>
              <w:bottom w:w="90" w:type="dxa"/>
              <w:left w:w="140" w:type="dxa"/>
              <w:right w:w="140" w:type="dxa"/>
            </w:tcMar>
          </w:tcPr>
          <w:p>
            <w:pPr>
              <w:jc w:val="left"/>
            </w:pPr>
            <w:r>
              <w:rPr>
                <w:color w:val="2C3E50"/>
                <w:sz w:val="19"/>
              </w:rPr>
              <w:t>Selected 1,296,675 real-world simulated transactions. Extreme class imbalance identified: 99.42% normal vs. 0.58% fraud.</w:t>
            </w:r>
          </w:p>
        </w:tc>
      </w:tr>
      <w:tr>
        <w:tc>
          <w:tcPr>
            <w:tcW w:type="dxa" w:w="1152"/>
            <w:shd w:fill="F9FBFC"/>
            <w:tcMar>
              <w:top w:w="90" w:type="dxa"/>
              <w:bottom w:w="90" w:type="dxa"/>
              <w:left w:w="140" w:type="dxa"/>
              <w:right w:w="140" w:type="dxa"/>
            </w:tcMar>
          </w:tcPr>
          <w:p>
            <w:pPr>
              <w:jc w:val="left"/>
            </w:pPr>
            <w:r>
              <w:rPr>
                <w:color w:val="2C3E50"/>
                <w:sz w:val="19"/>
              </w:rPr>
              <w:t>Week 2</w:t>
            </w:r>
          </w:p>
        </w:tc>
        <w:tc>
          <w:tcPr>
            <w:tcW w:type="dxa" w:w="2592"/>
            <w:shd w:fill="F9FBFC"/>
            <w:tcMar>
              <w:top w:w="90" w:type="dxa"/>
              <w:bottom w:w="90" w:type="dxa"/>
              <w:left w:w="140" w:type="dxa"/>
              <w:right w:w="140" w:type="dxa"/>
            </w:tcMar>
          </w:tcPr>
          <w:p>
            <w:pPr>
              <w:jc w:val="left"/>
            </w:pPr>
            <w:r>
              <w:rPr>
                <w:color w:val="2C3E50"/>
                <w:sz w:val="19"/>
              </w:rPr>
              <w:t>"Know Your Data" (Structure Audit)</w:t>
            </w:r>
          </w:p>
        </w:tc>
        <w:tc>
          <w:tcPr>
            <w:tcW w:type="dxa" w:w="2736"/>
            <w:shd w:fill="F9FBFC"/>
            <w:tcMar>
              <w:top w:w="90" w:type="dxa"/>
              <w:bottom w:w="90" w:type="dxa"/>
              <w:left w:w="140" w:type="dxa"/>
              <w:right w:w="140" w:type="dxa"/>
            </w:tcMar>
          </w:tcPr>
          <w:p>
            <w:pPr>
              <w:jc w:val="left"/>
            </w:pPr>
            <w:r>
              <w:rPr>
                <w:color w:val="2C3E50"/>
                <w:sz w:val="19"/>
              </w:rPr>
              <w:t>• Data type classification</w:t>
              <w:br/>
              <w:t>• Null value audit</w:t>
              <w:br/>
              <w:t>• Summary statistics</w:t>
            </w:r>
          </w:p>
        </w:tc>
        <w:tc>
          <w:tcPr>
            <w:tcW w:type="dxa" w:w="3312"/>
            <w:shd w:fill="F9FBFC"/>
            <w:tcMar>
              <w:top w:w="90" w:type="dxa"/>
              <w:bottom w:w="90" w:type="dxa"/>
              <w:left w:w="140" w:type="dxa"/>
              <w:right w:w="140" w:type="dxa"/>
            </w:tcMar>
          </w:tcPr>
          <w:p>
            <w:pPr>
              <w:jc w:val="left"/>
            </w:pPr>
            <w:r>
              <w:rPr>
                <w:color w:val="2C3E50"/>
                <w:sz w:val="19"/>
              </w:rPr>
              <w:t>Verified 100% clean completeness: 0 missing values, 0 duplicate rows across 23 raw features.</w:t>
            </w:r>
          </w:p>
        </w:tc>
      </w:tr>
      <w:tr>
        <w:tc>
          <w:tcPr>
            <w:tcW w:type="dxa" w:w="1152"/>
            <w:shd w:fill="FFFFFF"/>
            <w:tcMar>
              <w:top w:w="90" w:type="dxa"/>
              <w:bottom w:w="90" w:type="dxa"/>
              <w:left w:w="140" w:type="dxa"/>
              <w:right w:w="140" w:type="dxa"/>
            </w:tcMar>
          </w:tcPr>
          <w:p>
            <w:pPr>
              <w:jc w:val="left"/>
            </w:pPr>
            <w:r>
              <w:rPr>
                <w:color w:val="2C3E50"/>
                <w:sz w:val="19"/>
              </w:rPr>
              <w:t>Week 3</w:t>
            </w:r>
          </w:p>
        </w:tc>
        <w:tc>
          <w:tcPr>
            <w:tcW w:type="dxa" w:w="2592"/>
            <w:shd w:fill="FFFFFF"/>
            <w:tcMar>
              <w:top w:w="90" w:type="dxa"/>
              <w:bottom w:w="90" w:type="dxa"/>
              <w:left w:w="140" w:type="dxa"/>
              <w:right w:w="140" w:type="dxa"/>
            </w:tcMar>
          </w:tcPr>
          <w:p>
            <w:pPr>
              <w:jc w:val="left"/>
            </w:pPr>
            <w:r>
              <w:rPr>
                <w:color w:val="2C3E50"/>
                <w:sz w:val="19"/>
              </w:rPr>
              <w:t>The Cleaning Sprint &amp; Outliers</w:t>
            </w:r>
          </w:p>
        </w:tc>
        <w:tc>
          <w:tcPr>
            <w:tcW w:type="dxa" w:w="2736"/>
            <w:shd w:fill="FFFFFF"/>
            <w:tcMar>
              <w:top w:w="90" w:type="dxa"/>
              <w:bottom w:w="90" w:type="dxa"/>
              <w:left w:w="140" w:type="dxa"/>
              <w:right w:w="140" w:type="dxa"/>
            </w:tcMar>
          </w:tcPr>
          <w:p>
            <w:pPr>
              <w:jc w:val="left"/>
            </w:pPr>
            <w:r>
              <w:rPr>
                <w:color w:val="2C3E50"/>
                <w:sz w:val="19"/>
              </w:rPr>
              <w:t>• IQR Method (Q3 + 1.5*IQR)</w:t>
              <w:br/>
              <w:t>• Z-Score (|z| &gt; 3)</w:t>
              <w:br/>
              <w:t>• Cross-tabulation with target</w:t>
            </w:r>
          </w:p>
        </w:tc>
        <w:tc>
          <w:tcPr>
            <w:tcW w:type="dxa" w:w="3312"/>
            <w:shd w:fill="FFFFFF"/>
            <w:tcMar>
              <w:top w:w="90" w:type="dxa"/>
              <w:bottom w:w="90" w:type="dxa"/>
              <w:left w:w="140" w:type="dxa"/>
              <w:right w:w="140" w:type="dxa"/>
            </w:tcMar>
          </w:tcPr>
          <w:p>
            <w:pPr>
              <w:jc w:val="left"/>
            </w:pPr>
            <w:r>
              <w:rPr>
                <w:color w:val="2C3E50"/>
                <w:sz w:val="19"/>
              </w:rPr>
              <w:t>★ CRITICAL DISCOVERY: 73.3% of all fraud cases are high-dollar IQR outliers! Deleting outliers is fatal in fraud detection; they must be transformed instead.</w:t>
            </w:r>
          </w:p>
        </w:tc>
      </w:tr>
      <w:tr>
        <w:tc>
          <w:tcPr>
            <w:tcW w:type="dxa" w:w="1152"/>
            <w:shd w:fill="F9FBFC"/>
            <w:tcMar>
              <w:top w:w="90" w:type="dxa"/>
              <w:bottom w:w="90" w:type="dxa"/>
              <w:left w:w="140" w:type="dxa"/>
              <w:right w:w="140" w:type="dxa"/>
            </w:tcMar>
          </w:tcPr>
          <w:p>
            <w:pPr>
              <w:jc w:val="left"/>
            </w:pPr>
            <w:r>
              <w:rPr>
                <w:color w:val="2C3E50"/>
                <w:sz w:val="19"/>
              </w:rPr>
              <w:t>Week 4</w:t>
            </w:r>
          </w:p>
        </w:tc>
        <w:tc>
          <w:tcPr>
            <w:tcW w:type="dxa" w:w="2592"/>
            <w:shd w:fill="F9FBFC"/>
            <w:tcMar>
              <w:top w:w="90" w:type="dxa"/>
              <w:bottom w:w="90" w:type="dxa"/>
              <w:left w:w="140" w:type="dxa"/>
              <w:right w:w="140" w:type="dxa"/>
            </w:tcMar>
          </w:tcPr>
          <w:p>
            <w:pPr>
              <w:jc w:val="left"/>
            </w:pPr>
            <w:r>
              <w:rPr>
                <w:color w:val="2C3E50"/>
                <w:sz w:val="19"/>
              </w:rPr>
              <w:t>Full EDA Deep Dive</w:t>
            </w:r>
          </w:p>
        </w:tc>
        <w:tc>
          <w:tcPr>
            <w:tcW w:type="dxa" w:w="2736"/>
            <w:shd w:fill="F9FBFC"/>
            <w:tcMar>
              <w:top w:w="90" w:type="dxa"/>
              <w:bottom w:w="90" w:type="dxa"/>
              <w:left w:w="140" w:type="dxa"/>
              <w:right w:w="140" w:type="dxa"/>
            </w:tcMar>
          </w:tcPr>
          <w:p>
            <w:pPr>
              <w:jc w:val="left"/>
            </w:pPr>
            <w:r>
              <w:rPr>
                <w:color w:val="2C3E50"/>
                <w:sz w:val="19"/>
              </w:rPr>
              <w:t>• Univariate &amp; Bivariate analysis</w:t>
              <w:br/>
              <w:t>• Diurnal cycle heatmaps</w:t>
              <w:br/>
              <w:t>• Category fraud-rate distributions</w:t>
            </w:r>
          </w:p>
        </w:tc>
        <w:tc>
          <w:tcPr>
            <w:tcW w:type="dxa" w:w="3312"/>
            <w:shd w:fill="F9FBFC"/>
            <w:tcMar>
              <w:top w:w="90" w:type="dxa"/>
              <w:bottom w:w="90" w:type="dxa"/>
              <w:left w:w="140" w:type="dxa"/>
              <w:right w:w="140" w:type="dxa"/>
            </w:tcMar>
          </w:tcPr>
          <w:p>
            <w:pPr>
              <w:jc w:val="left"/>
            </w:pPr>
            <w:r>
              <w:rPr>
                <w:color w:val="2C3E50"/>
                <w:sz w:val="19"/>
              </w:rPr>
              <w:t>1. Diurnal surge: Fraud probability is 43x higher between 10 PM and 3 AM.</w:t>
              <w:br/>
              <w:t>2. Fraud average is $347 vs $47 for legitimate purchases.</w:t>
              <w:br/>
              <w:t>3. High risk: misc_net, grocery_pos.</w:t>
            </w:r>
          </w:p>
        </w:tc>
      </w:tr>
      <w:tr>
        <w:tc>
          <w:tcPr>
            <w:tcW w:type="dxa" w:w="1152"/>
            <w:shd w:fill="FFFFFF"/>
            <w:tcMar>
              <w:top w:w="90" w:type="dxa"/>
              <w:bottom w:w="90" w:type="dxa"/>
              <w:left w:w="140" w:type="dxa"/>
              <w:right w:w="140" w:type="dxa"/>
            </w:tcMar>
          </w:tcPr>
          <w:p>
            <w:pPr>
              <w:jc w:val="left"/>
            </w:pPr>
            <w:r>
              <w:rPr>
                <w:color w:val="2C3E50"/>
                <w:sz w:val="19"/>
              </w:rPr>
              <w:t>Week 5</w:t>
            </w:r>
          </w:p>
        </w:tc>
        <w:tc>
          <w:tcPr>
            <w:tcW w:type="dxa" w:w="2592"/>
            <w:shd w:fill="FFFFFF"/>
            <w:tcMar>
              <w:top w:w="90" w:type="dxa"/>
              <w:bottom w:w="90" w:type="dxa"/>
              <w:left w:w="140" w:type="dxa"/>
              <w:right w:w="140" w:type="dxa"/>
            </w:tcMar>
          </w:tcPr>
          <w:p>
            <w:pPr>
              <w:jc w:val="left"/>
            </w:pPr>
            <w:r>
              <w:rPr>
                <w:color w:val="2C3E50"/>
                <w:sz w:val="19"/>
              </w:rPr>
              <w:t>Mid-Review: The Data Audit</w:t>
            </w:r>
          </w:p>
        </w:tc>
        <w:tc>
          <w:tcPr>
            <w:tcW w:type="dxa" w:w="2736"/>
            <w:shd w:fill="FFFFFF"/>
            <w:tcMar>
              <w:top w:w="90" w:type="dxa"/>
              <w:bottom w:w="90" w:type="dxa"/>
              <w:left w:w="140" w:type="dxa"/>
              <w:right w:w="140" w:type="dxa"/>
            </w:tcMar>
          </w:tcPr>
          <w:p>
            <w:pPr>
              <w:jc w:val="left"/>
            </w:pPr>
            <w:r>
              <w:rPr>
                <w:color w:val="2C3E50"/>
                <w:sz w:val="19"/>
              </w:rPr>
              <w:t>• Cross-member verification</w:t>
              <w:br/>
              <w:t>• PR-AUC evaluation standard</w:t>
              <w:br/>
              <w:t>• Readiness sign-off</w:t>
            </w:r>
          </w:p>
        </w:tc>
        <w:tc>
          <w:tcPr>
            <w:tcW w:type="dxa" w:w="3312"/>
            <w:shd w:fill="FFFFFF"/>
            <w:tcMar>
              <w:top w:w="90" w:type="dxa"/>
              <w:bottom w:w="90" w:type="dxa"/>
              <w:left w:w="140" w:type="dxa"/>
              <w:right w:w="140" w:type="dxa"/>
            </w:tcMar>
          </w:tcPr>
          <w:p>
            <w:pPr>
              <w:jc w:val="left"/>
            </w:pPr>
            <w:r>
              <w:rPr>
                <w:color w:val="2C3E50"/>
                <w:sz w:val="19"/>
              </w:rPr>
              <w:t>Certified clean dataset readiness for mathematical feature engineering. Established PR-AUC over Accuracy as mandatory evaluation standard.</w:t>
            </w:r>
          </w:p>
        </w:tc>
      </w:tr>
    </w:tbl>
    <w:p>
      <w:pPr>
        <w:spacing w:after="120"/>
      </w:pPr>
    </w:p>
    <w:p>
      <w:pPr>
        <w:spacing w:after="40"/>
      </w:pP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week3_outlier_boxplots.png"/>
                    <pic:cNvPicPr/>
                  </pic:nvPicPr>
                  <pic:blipFill>
                    <a:blip r:embed="rId9"/>
                    <a:stretch>
                      <a:fillRect/>
                    </a:stretch>
                  </pic:blipFill>
                  <pic:spPr>
                    <a:xfrm>
                      <a:off x="0" y="0"/>
                      <a:ext cx="5669280" cy="2267712"/>
                    </a:xfrm>
                    <a:prstGeom prst="rect"/>
                  </pic:spPr>
                </pic:pic>
              </a:graphicData>
            </a:graphic>
          </wp:inline>
        </w:drawing>
      </w:r>
    </w:p>
    <w:p>
      <w:pPr>
        <w:spacing w:after="160"/>
        <w:jc w:val="center"/>
      </w:pPr>
      <w:r>
        <w:rPr>
          <w:i/>
          <w:sz w:val="17"/>
        </w:rPr>
        <w:t>Figure 1: Week 3 Outlier Detection — Raw Amount Boxplot vs. Log-Transformed Amount</w:t>
      </w:r>
    </w:p>
    <w:p>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week4_eda_deep_dive.png"/>
                    <pic:cNvPicPr/>
                  </pic:nvPicPr>
                  <pic:blipFill>
                    <a:blip r:embed="rId10"/>
                    <a:stretch>
                      <a:fillRect/>
                    </a:stretch>
                  </pic:blipFill>
                  <pic:spPr>
                    <a:xfrm>
                      <a:off x="0" y="0"/>
                      <a:ext cx="5669280" cy="4049486"/>
                    </a:xfrm>
                    <a:prstGeom prst="rect"/>
                  </pic:spPr>
                </pic:pic>
              </a:graphicData>
            </a:graphic>
          </wp:inline>
        </w:drawing>
      </w:r>
    </w:p>
    <w:p>
      <w:pPr>
        <w:spacing w:after="200"/>
        <w:jc w:val="center"/>
      </w:pPr>
      <w:r>
        <w:rPr>
          <w:i/>
          <w:sz w:val="17"/>
        </w:rPr>
        <w:t>Figure 2: Week 4 Exploratory Data Analysis — Class Imbalance, Amount KDE, Attack Categories, and Diurnal Hour Surge</w:t>
      </w:r>
    </w:p>
    <w:p>
      <w:r>
        <w:br w:type="page"/>
      </w:r>
    </w:p>
    <w:p>
      <w:pPr>
        <w:pStyle w:val="Heading1"/>
        <w:spacing w:before="200" w:after="80"/>
      </w:pPr>
      <w:r>
        <w:rPr>
          <w:color w:val="1B365D"/>
        </w:rPr>
        <w:t>PART 2: Deep Dive into Week 6 (Feature Engineering)</w:t>
      </w:r>
    </w:p>
    <w:p>
      <w:r>
        <w:t>Machine learning algorithms and distance calculations cannot ingest raw text strings and fail when continuous numbers exhibit extreme skewness. Week 6 was split into two modular notebooks executing sequential data transformations.</w:t>
      </w:r>
    </w:p>
    <w:p>
      <w:pPr>
        <w:pStyle w:val="Heading2"/>
      </w:pPr>
      <w:r>
        <w:rPr>
          <w:color w:val="2C3E50"/>
        </w:rPr>
        <w:t>Notebook 1: Categorical Encoding (01_encoding_categorical_variables.ipynb)</w:t>
      </w:r>
    </w:p>
    <w:p>
      <w:r>
        <w:t>We had 4 categorical features of vastly different cardinality. A naive one-size-fits-all approach (like One-Hot Encoding) would destroy model performance. We designed a multi-strategy encoding pipeline:</w:t>
      </w:r>
    </w:p>
    <w:p>
      <w:r>
        <w:rPr>
          <w:b/>
        </w:rPr>
        <w:t xml:space="preserve">1. Binary Encoding (Gender): </w:t>
      </w:r>
      <w:r>
        <w:t>Gender has only 2 unique values ('F', 'M'). Mapped F -&gt; 0 and M -&gt; 1. This uses minimal memory without ambiguity.</w:t>
      </w:r>
    </w:p>
    <w:p>
      <w:r>
        <w:rPr>
          <w:b/>
        </w:rPr>
        <w:t xml:space="preserve">2. Label / Ordinal Encoding (Category): </w:t>
      </w:r>
      <w:r>
        <w:t>There are 14 nominal merchant categories. We sorted them alphabetically and assigned integer codes [0 to 13]. This preserved dimensionality without adding 14 sparse columns.</w:t>
      </w:r>
    </w:p>
    <w:p>
      <w:r>
        <w:rPr>
          <w:b/>
        </w:rPr>
        <w:t xml:space="preserve">3. Frequency Encoding (Job &amp; State) — The Antidote to the Curse of Dimensionality: </w:t>
      </w:r>
      <w:r>
        <w:t>The job column has 478 unique titles and state has 50 states. If One-Hot Encoding were applied, it would create 478 sparse binary columns consisting of 99.8% zeros. This triggers the Curse of Dimensionality, inflating memory and degrading decision-tree splits. Instead, we used Frequency Encoding: replacing each category with its empirical percentage frequency:</w:t>
        <w:br/>
      </w:r>
    </w:p>
    <w:p>
      <w:pPr/>
      <w:r>
        <w:rPr>
          <w:i/>
        </w:rPr>
        <w:t>Frequency(c) = Count(category == c) / Total Rows (N)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419"/>
        <w:gridCol w:w="1419"/>
        <w:gridCol w:w="1419"/>
        <w:gridCol w:w="1419"/>
        <w:gridCol w:w="1419"/>
        <w:gridCol w:w="1419"/>
        <w:gridCol w:w="1419"/>
      </w:tblGrid>
      <w:tr>
        <w:tc>
          <w:tcPr>
            <w:tcW w:type="dxa" w:w="1152"/>
            <w:shd w:fill="1B365D"/>
            <w:tcMar>
              <w:top w:w="120" w:type="dxa"/>
              <w:bottom w:w="120" w:type="dxa"/>
              <w:left w:w="140" w:type="dxa"/>
              <w:right w:w="140" w:type="dxa"/>
            </w:tcMar>
          </w:tcPr>
          <w:p>
            <w:pPr>
              <w:jc w:val="left"/>
            </w:pPr>
            <w:r>
              <w:rPr>
                <w:b/>
                <w:color w:val="FFFFFF"/>
                <w:sz w:val="19"/>
              </w:rPr>
              <w:t>Transaction</w:t>
            </w:r>
          </w:p>
        </w:tc>
        <w:tc>
          <w:tcPr>
            <w:tcW w:type="dxa" w:w="1296"/>
            <w:shd w:fill="1B365D"/>
            <w:tcMar>
              <w:top w:w="120" w:type="dxa"/>
              <w:bottom w:w="120" w:type="dxa"/>
              <w:left w:w="140" w:type="dxa"/>
              <w:right w:w="140" w:type="dxa"/>
            </w:tcMar>
          </w:tcPr>
          <w:p>
            <w:pPr>
              <w:jc w:val="left"/>
            </w:pPr>
            <w:r>
              <w:rPr>
                <w:b/>
                <w:color w:val="FFFFFF"/>
                <w:sz w:val="19"/>
              </w:rPr>
              <w:t>gender (Raw)</w:t>
            </w:r>
          </w:p>
        </w:tc>
        <w:tc>
          <w:tcPr>
            <w:tcW w:type="dxa" w:w="1296"/>
            <w:shd w:fill="1B365D"/>
            <w:tcMar>
              <w:top w:w="120" w:type="dxa"/>
              <w:bottom w:w="120" w:type="dxa"/>
              <w:left w:w="140" w:type="dxa"/>
              <w:right w:w="140" w:type="dxa"/>
            </w:tcMar>
          </w:tcPr>
          <w:p>
            <w:pPr>
              <w:jc w:val="right"/>
            </w:pPr>
            <w:r>
              <w:rPr>
                <w:b/>
                <w:color w:val="FFFFFF"/>
                <w:sz w:val="19"/>
              </w:rPr>
              <w:t>gender_encoded</w:t>
            </w:r>
          </w:p>
        </w:tc>
        <w:tc>
          <w:tcPr>
            <w:tcW w:type="dxa" w:w="1440"/>
            <w:shd w:fill="1B365D"/>
            <w:tcMar>
              <w:top w:w="120" w:type="dxa"/>
              <w:bottom w:w="120" w:type="dxa"/>
              <w:left w:w="140" w:type="dxa"/>
              <w:right w:w="140" w:type="dxa"/>
            </w:tcMar>
          </w:tcPr>
          <w:p>
            <w:pPr>
              <w:jc w:val="left"/>
            </w:pPr>
            <w:r>
              <w:rPr>
                <w:b/>
                <w:color w:val="FFFFFF"/>
                <w:sz w:val="19"/>
              </w:rPr>
              <w:t>category (Raw)</w:t>
            </w:r>
          </w:p>
        </w:tc>
        <w:tc>
          <w:tcPr>
            <w:tcW w:type="dxa" w:w="1296"/>
            <w:shd w:fill="1B365D"/>
            <w:tcMar>
              <w:top w:w="120" w:type="dxa"/>
              <w:bottom w:w="120" w:type="dxa"/>
              <w:left w:w="140" w:type="dxa"/>
              <w:right w:w="140" w:type="dxa"/>
            </w:tcMar>
          </w:tcPr>
          <w:p>
            <w:pPr>
              <w:jc w:val="right"/>
            </w:pPr>
            <w:r>
              <w:rPr>
                <w:b/>
                <w:color w:val="FFFFFF"/>
                <w:sz w:val="19"/>
              </w:rPr>
              <w:t>category_code</w:t>
            </w:r>
          </w:p>
        </w:tc>
        <w:tc>
          <w:tcPr>
            <w:tcW w:type="dxa" w:w="1728"/>
            <w:shd w:fill="1B365D"/>
            <w:tcMar>
              <w:top w:w="120" w:type="dxa"/>
              <w:bottom w:w="120" w:type="dxa"/>
              <w:left w:w="140" w:type="dxa"/>
              <w:right w:w="140" w:type="dxa"/>
            </w:tcMar>
          </w:tcPr>
          <w:p>
            <w:pPr>
              <w:jc w:val="left"/>
            </w:pPr>
            <w:r>
              <w:rPr>
                <w:b/>
                <w:color w:val="FFFFFF"/>
                <w:sz w:val="19"/>
              </w:rPr>
              <w:t>job (Raw)</w:t>
            </w:r>
          </w:p>
        </w:tc>
        <w:tc>
          <w:tcPr>
            <w:tcW w:type="dxa" w:w="1584"/>
            <w:shd w:fill="1B365D"/>
            <w:tcMar>
              <w:top w:w="120" w:type="dxa"/>
              <w:bottom w:w="120" w:type="dxa"/>
              <w:left w:w="140" w:type="dxa"/>
              <w:right w:w="140" w:type="dxa"/>
            </w:tcMar>
          </w:tcPr>
          <w:p>
            <w:pPr>
              <w:jc w:val="right"/>
            </w:pPr>
            <w:r>
              <w:rPr>
                <w:b/>
                <w:color w:val="FFFFFF"/>
                <w:sz w:val="19"/>
              </w:rPr>
              <w:t>job_freq (Continuous)</w:t>
            </w:r>
          </w:p>
        </w:tc>
      </w:tr>
      <w:tr>
        <w:tc>
          <w:tcPr>
            <w:tcW w:type="dxa" w:w="1152"/>
            <w:shd w:fill="FFFFFF"/>
            <w:tcMar>
              <w:top w:w="90" w:type="dxa"/>
              <w:bottom w:w="90" w:type="dxa"/>
              <w:left w:w="140" w:type="dxa"/>
              <w:right w:w="140" w:type="dxa"/>
            </w:tcMar>
          </w:tcPr>
          <w:p>
            <w:pPr>
              <w:jc w:val="left"/>
            </w:pPr>
            <w:r>
              <w:rPr>
                <w:color w:val="2C3E50"/>
                <w:sz w:val="19"/>
              </w:rPr>
              <w:t>#0</w:t>
            </w:r>
          </w:p>
        </w:tc>
        <w:tc>
          <w:tcPr>
            <w:tcW w:type="dxa" w:w="1296"/>
            <w:shd w:fill="FFFFFF"/>
            <w:tcMar>
              <w:top w:w="90" w:type="dxa"/>
              <w:bottom w:w="90" w:type="dxa"/>
              <w:left w:w="140" w:type="dxa"/>
              <w:right w:w="140" w:type="dxa"/>
            </w:tcMar>
          </w:tcPr>
          <w:p>
            <w:pPr>
              <w:jc w:val="left"/>
            </w:pPr>
            <w:r>
              <w:rPr>
                <w:color w:val="2C3E50"/>
                <w:sz w:val="19"/>
              </w:rPr>
              <w:t>F</w:t>
            </w:r>
          </w:p>
        </w:tc>
        <w:tc>
          <w:tcPr>
            <w:tcW w:type="dxa" w:w="1296"/>
            <w:shd w:fill="FFFFFF"/>
            <w:tcMar>
              <w:top w:w="90" w:type="dxa"/>
              <w:bottom w:w="90" w:type="dxa"/>
              <w:left w:w="140" w:type="dxa"/>
              <w:right w:w="140" w:type="dxa"/>
            </w:tcMar>
          </w:tcPr>
          <w:p>
            <w:pPr>
              <w:jc w:val="right"/>
            </w:pPr>
            <w:r>
              <w:rPr>
                <w:color w:val="2C3E50"/>
                <w:sz w:val="19"/>
              </w:rPr>
              <w:t>0</w:t>
            </w:r>
          </w:p>
        </w:tc>
        <w:tc>
          <w:tcPr>
            <w:tcW w:type="dxa" w:w="1440"/>
            <w:shd w:fill="FFFFFF"/>
            <w:tcMar>
              <w:top w:w="90" w:type="dxa"/>
              <w:bottom w:w="90" w:type="dxa"/>
              <w:left w:w="140" w:type="dxa"/>
              <w:right w:w="140" w:type="dxa"/>
            </w:tcMar>
          </w:tcPr>
          <w:p>
            <w:pPr>
              <w:jc w:val="left"/>
            </w:pPr>
            <w:r>
              <w:rPr>
                <w:color w:val="2C3E50"/>
                <w:sz w:val="19"/>
              </w:rPr>
              <w:t>misc_net</w:t>
            </w:r>
          </w:p>
        </w:tc>
        <w:tc>
          <w:tcPr>
            <w:tcW w:type="dxa" w:w="1296"/>
            <w:shd w:fill="FFFFFF"/>
            <w:tcMar>
              <w:top w:w="90" w:type="dxa"/>
              <w:bottom w:w="90" w:type="dxa"/>
              <w:left w:w="140" w:type="dxa"/>
              <w:right w:w="140" w:type="dxa"/>
            </w:tcMar>
          </w:tcPr>
          <w:p>
            <w:pPr>
              <w:jc w:val="right"/>
            </w:pPr>
            <w:r>
              <w:rPr>
                <w:color w:val="2C3E50"/>
                <w:sz w:val="19"/>
              </w:rPr>
              <w:t>8</w:t>
            </w:r>
          </w:p>
        </w:tc>
        <w:tc>
          <w:tcPr>
            <w:tcW w:type="dxa" w:w="1728"/>
            <w:shd w:fill="FFFFFF"/>
            <w:tcMar>
              <w:top w:w="90" w:type="dxa"/>
              <w:bottom w:w="90" w:type="dxa"/>
              <w:left w:w="140" w:type="dxa"/>
              <w:right w:w="140" w:type="dxa"/>
            </w:tcMar>
          </w:tcPr>
          <w:p>
            <w:pPr>
              <w:jc w:val="left"/>
            </w:pPr>
            <w:r>
              <w:rPr>
                <w:color w:val="2C3E50"/>
                <w:sz w:val="19"/>
              </w:rPr>
              <w:t>Psychologist</w:t>
            </w:r>
          </w:p>
        </w:tc>
        <w:tc>
          <w:tcPr>
            <w:tcW w:type="dxa" w:w="1584"/>
            <w:shd w:fill="FFFFFF"/>
            <w:tcMar>
              <w:top w:w="90" w:type="dxa"/>
              <w:bottom w:w="90" w:type="dxa"/>
              <w:left w:w="140" w:type="dxa"/>
              <w:right w:w="140" w:type="dxa"/>
            </w:tcMar>
          </w:tcPr>
          <w:p>
            <w:pPr>
              <w:jc w:val="right"/>
            </w:pPr>
            <w:r>
              <w:rPr>
                <w:color w:val="2C3E50"/>
                <w:sz w:val="19"/>
              </w:rPr>
              <w:t>0.00163 (163 records)</w:t>
            </w:r>
          </w:p>
        </w:tc>
      </w:tr>
      <w:tr>
        <w:tc>
          <w:tcPr>
            <w:tcW w:type="dxa" w:w="1152"/>
            <w:shd w:fill="F9FBFC"/>
            <w:tcMar>
              <w:top w:w="90" w:type="dxa"/>
              <w:bottom w:w="90" w:type="dxa"/>
              <w:left w:w="140" w:type="dxa"/>
              <w:right w:w="140" w:type="dxa"/>
            </w:tcMar>
          </w:tcPr>
          <w:p>
            <w:pPr>
              <w:jc w:val="left"/>
            </w:pPr>
            <w:r>
              <w:rPr>
                <w:color w:val="2C3E50"/>
                <w:sz w:val="19"/>
              </w:rPr>
              <w:t>#1</w:t>
            </w:r>
          </w:p>
        </w:tc>
        <w:tc>
          <w:tcPr>
            <w:tcW w:type="dxa" w:w="1296"/>
            <w:shd w:fill="F9FBFC"/>
            <w:tcMar>
              <w:top w:w="90" w:type="dxa"/>
              <w:bottom w:w="90" w:type="dxa"/>
              <w:left w:w="140" w:type="dxa"/>
              <w:right w:w="140" w:type="dxa"/>
            </w:tcMar>
          </w:tcPr>
          <w:p>
            <w:pPr>
              <w:jc w:val="left"/>
            </w:pPr>
            <w:r>
              <w:rPr>
                <w:color w:val="2C3E50"/>
                <w:sz w:val="19"/>
              </w:rPr>
              <w:t>F</w:t>
            </w:r>
          </w:p>
        </w:tc>
        <w:tc>
          <w:tcPr>
            <w:tcW w:type="dxa" w:w="1296"/>
            <w:shd w:fill="F9FBFC"/>
            <w:tcMar>
              <w:top w:w="90" w:type="dxa"/>
              <w:bottom w:w="90" w:type="dxa"/>
              <w:left w:w="140" w:type="dxa"/>
              <w:right w:w="140" w:type="dxa"/>
            </w:tcMar>
          </w:tcPr>
          <w:p>
            <w:pPr>
              <w:jc w:val="right"/>
            </w:pPr>
            <w:r>
              <w:rPr>
                <w:color w:val="2C3E50"/>
                <w:sz w:val="19"/>
              </w:rPr>
              <w:t>0</w:t>
            </w:r>
          </w:p>
        </w:tc>
        <w:tc>
          <w:tcPr>
            <w:tcW w:type="dxa" w:w="1440"/>
            <w:shd w:fill="F9FBFC"/>
            <w:tcMar>
              <w:top w:w="90" w:type="dxa"/>
              <w:bottom w:w="90" w:type="dxa"/>
              <w:left w:w="140" w:type="dxa"/>
              <w:right w:w="140" w:type="dxa"/>
            </w:tcMar>
          </w:tcPr>
          <w:p>
            <w:pPr>
              <w:jc w:val="left"/>
            </w:pPr>
            <w:r>
              <w:rPr>
                <w:color w:val="2C3E50"/>
                <w:sz w:val="19"/>
              </w:rPr>
              <w:t>grocery_pos</w:t>
            </w:r>
          </w:p>
        </w:tc>
        <w:tc>
          <w:tcPr>
            <w:tcW w:type="dxa" w:w="1296"/>
            <w:shd w:fill="F9FBFC"/>
            <w:tcMar>
              <w:top w:w="90" w:type="dxa"/>
              <w:bottom w:w="90" w:type="dxa"/>
              <w:left w:w="140" w:type="dxa"/>
              <w:right w:w="140" w:type="dxa"/>
            </w:tcMar>
          </w:tcPr>
          <w:p>
            <w:pPr>
              <w:jc w:val="right"/>
            </w:pPr>
            <w:r>
              <w:rPr>
                <w:color w:val="2C3E50"/>
                <w:sz w:val="19"/>
              </w:rPr>
              <w:t>4</w:t>
            </w:r>
          </w:p>
        </w:tc>
        <w:tc>
          <w:tcPr>
            <w:tcW w:type="dxa" w:w="1728"/>
            <w:shd w:fill="F9FBFC"/>
            <w:tcMar>
              <w:top w:w="90" w:type="dxa"/>
              <w:bottom w:w="90" w:type="dxa"/>
              <w:left w:w="140" w:type="dxa"/>
              <w:right w:w="140" w:type="dxa"/>
            </w:tcMar>
          </w:tcPr>
          <w:p>
            <w:pPr>
              <w:jc w:val="left"/>
            </w:pPr>
            <w:r>
              <w:rPr>
                <w:color w:val="2C3E50"/>
                <w:sz w:val="19"/>
              </w:rPr>
              <w:t>Special ed assistant</w:t>
            </w:r>
          </w:p>
        </w:tc>
        <w:tc>
          <w:tcPr>
            <w:tcW w:type="dxa" w:w="1584"/>
            <w:shd w:fill="F9FBFC"/>
            <w:tcMar>
              <w:top w:w="90" w:type="dxa"/>
              <w:bottom w:w="90" w:type="dxa"/>
              <w:left w:w="140" w:type="dxa"/>
              <w:right w:w="140" w:type="dxa"/>
            </w:tcMar>
          </w:tcPr>
          <w:p>
            <w:pPr>
              <w:jc w:val="right"/>
            </w:pPr>
            <w:r>
              <w:rPr>
                <w:color w:val="2C3E50"/>
                <w:sz w:val="19"/>
              </w:rPr>
              <w:t>0.00282 (282 records)</w:t>
            </w:r>
          </w:p>
        </w:tc>
      </w:tr>
      <w:tr>
        <w:tc>
          <w:tcPr>
            <w:tcW w:type="dxa" w:w="1152"/>
            <w:shd w:fill="FFFFFF"/>
            <w:tcMar>
              <w:top w:w="90" w:type="dxa"/>
              <w:bottom w:w="90" w:type="dxa"/>
              <w:left w:w="140" w:type="dxa"/>
              <w:right w:w="140" w:type="dxa"/>
            </w:tcMar>
          </w:tcPr>
          <w:p>
            <w:pPr>
              <w:jc w:val="left"/>
            </w:pPr>
            <w:r>
              <w:rPr>
                <w:color w:val="2C3E50"/>
                <w:sz w:val="19"/>
              </w:rPr>
              <w:t>#2</w:t>
            </w:r>
          </w:p>
        </w:tc>
        <w:tc>
          <w:tcPr>
            <w:tcW w:type="dxa" w:w="1296"/>
            <w:shd w:fill="FFFFFF"/>
            <w:tcMar>
              <w:top w:w="90" w:type="dxa"/>
              <w:bottom w:w="90" w:type="dxa"/>
              <w:left w:w="140" w:type="dxa"/>
              <w:right w:w="140" w:type="dxa"/>
            </w:tcMar>
          </w:tcPr>
          <w:p>
            <w:pPr>
              <w:jc w:val="left"/>
            </w:pPr>
            <w:r>
              <w:rPr>
                <w:color w:val="2C3E50"/>
                <w:sz w:val="19"/>
              </w:rPr>
              <w:t>M</w:t>
            </w:r>
          </w:p>
        </w:tc>
        <w:tc>
          <w:tcPr>
            <w:tcW w:type="dxa" w:w="1296"/>
            <w:shd w:fill="FFFFFF"/>
            <w:tcMar>
              <w:top w:w="90" w:type="dxa"/>
              <w:bottom w:w="90" w:type="dxa"/>
              <w:left w:w="140" w:type="dxa"/>
              <w:right w:w="140" w:type="dxa"/>
            </w:tcMar>
          </w:tcPr>
          <w:p>
            <w:pPr>
              <w:jc w:val="right"/>
            </w:pPr>
            <w:r>
              <w:rPr>
                <w:color w:val="2C3E50"/>
                <w:sz w:val="19"/>
              </w:rPr>
              <w:t>1</w:t>
            </w:r>
          </w:p>
        </w:tc>
        <w:tc>
          <w:tcPr>
            <w:tcW w:type="dxa" w:w="1440"/>
            <w:shd w:fill="FFFFFF"/>
            <w:tcMar>
              <w:top w:w="90" w:type="dxa"/>
              <w:bottom w:w="90" w:type="dxa"/>
              <w:left w:w="140" w:type="dxa"/>
              <w:right w:w="140" w:type="dxa"/>
            </w:tcMar>
          </w:tcPr>
          <w:p>
            <w:pPr>
              <w:jc w:val="left"/>
            </w:pPr>
            <w:r>
              <w:rPr>
                <w:color w:val="2C3E50"/>
                <w:sz w:val="19"/>
              </w:rPr>
              <w:t>entertainment</w:t>
            </w:r>
          </w:p>
        </w:tc>
        <w:tc>
          <w:tcPr>
            <w:tcW w:type="dxa" w:w="1296"/>
            <w:shd w:fill="FFFFFF"/>
            <w:tcMar>
              <w:top w:w="90" w:type="dxa"/>
              <w:bottom w:w="90" w:type="dxa"/>
              <w:left w:w="140" w:type="dxa"/>
              <w:right w:w="140" w:type="dxa"/>
            </w:tcMar>
          </w:tcPr>
          <w:p>
            <w:pPr>
              <w:jc w:val="right"/>
            </w:pPr>
            <w:r>
              <w:rPr>
                <w:color w:val="2C3E50"/>
                <w:sz w:val="19"/>
              </w:rPr>
              <w:t>0</w:t>
            </w:r>
          </w:p>
        </w:tc>
        <w:tc>
          <w:tcPr>
            <w:tcW w:type="dxa" w:w="1728"/>
            <w:shd w:fill="FFFFFF"/>
            <w:tcMar>
              <w:top w:w="90" w:type="dxa"/>
              <w:bottom w:w="90" w:type="dxa"/>
              <w:left w:w="140" w:type="dxa"/>
              <w:right w:w="140" w:type="dxa"/>
            </w:tcMar>
          </w:tcPr>
          <w:p>
            <w:pPr>
              <w:jc w:val="left"/>
            </w:pPr>
            <w:r>
              <w:rPr>
                <w:color w:val="2C3E50"/>
                <w:sz w:val="19"/>
              </w:rPr>
              <w:t>Conservation officer</w:t>
            </w:r>
          </w:p>
        </w:tc>
        <w:tc>
          <w:tcPr>
            <w:tcW w:type="dxa" w:w="1584"/>
            <w:shd w:fill="FFFFFF"/>
            <w:tcMar>
              <w:top w:w="90" w:type="dxa"/>
              <w:bottom w:w="90" w:type="dxa"/>
              <w:left w:w="140" w:type="dxa"/>
              <w:right w:w="140" w:type="dxa"/>
            </w:tcMar>
          </w:tcPr>
          <w:p>
            <w:pPr>
              <w:jc w:val="right"/>
            </w:pPr>
            <w:r>
              <w:rPr>
                <w:color w:val="2C3E50"/>
                <w:sz w:val="19"/>
              </w:rPr>
              <w:t>0.00168 (168 records)</w:t>
            </w:r>
          </w:p>
        </w:tc>
      </w:tr>
      <w:tr>
        <w:tc>
          <w:tcPr>
            <w:tcW w:type="dxa" w:w="1152"/>
            <w:shd w:fill="F9FBFC"/>
            <w:tcMar>
              <w:top w:w="90" w:type="dxa"/>
              <w:bottom w:w="90" w:type="dxa"/>
              <w:left w:w="140" w:type="dxa"/>
              <w:right w:w="140" w:type="dxa"/>
            </w:tcMar>
          </w:tcPr>
          <w:p>
            <w:pPr>
              <w:jc w:val="left"/>
            </w:pPr>
            <w:r>
              <w:rPr>
                <w:color w:val="2C3E50"/>
                <w:sz w:val="19"/>
              </w:rPr>
              <w:t>#3</w:t>
            </w:r>
          </w:p>
        </w:tc>
        <w:tc>
          <w:tcPr>
            <w:tcW w:type="dxa" w:w="1296"/>
            <w:shd w:fill="F9FBFC"/>
            <w:tcMar>
              <w:top w:w="90" w:type="dxa"/>
              <w:bottom w:w="90" w:type="dxa"/>
              <w:left w:w="140" w:type="dxa"/>
              <w:right w:w="140" w:type="dxa"/>
            </w:tcMar>
          </w:tcPr>
          <w:p>
            <w:pPr>
              <w:jc w:val="left"/>
            </w:pPr>
            <w:r>
              <w:rPr>
                <w:color w:val="2C3E50"/>
                <w:sz w:val="19"/>
              </w:rPr>
              <w:t>M</w:t>
            </w:r>
          </w:p>
        </w:tc>
        <w:tc>
          <w:tcPr>
            <w:tcW w:type="dxa" w:w="1296"/>
            <w:shd w:fill="F9FBFC"/>
            <w:tcMar>
              <w:top w:w="90" w:type="dxa"/>
              <w:bottom w:w="90" w:type="dxa"/>
              <w:left w:w="140" w:type="dxa"/>
              <w:right w:w="140" w:type="dxa"/>
            </w:tcMar>
          </w:tcPr>
          <w:p>
            <w:pPr>
              <w:jc w:val="right"/>
            </w:pPr>
            <w:r>
              <w:rPr>
                <w:color w:val="2C3E50"/>
                <w:sz w:val="19"/>
              </w:rPr>
              <w:t>1</w:t>
            </w:r>
          </w:p>
        </w:tc>
        <w:tc>
          <w:tcPr>
            <w:tcW w:type="dxa" w:w="1440"/>
            <w:shd w:fill="F9FBFC"/>
            <w:tcMar>
              <w:top w:w="90" w:type="dxa"/>
              <w:bottom w:w="90" w:type="dxa"/>
              <w:left w:w="140" w:type="dxa"/>
              <w:right w:w="140" w:type="dxa"/>
            </w:tcMar>
          </w:tcPr>
          <w:p>
            <w:pPr>
              <w:jc w:val="left"/>
            </w:pPr>
            <w:r>
              <w:rPr>
                <w:color w:val="2C3E50"/>
                <w:sz w:val="19"/>
              </w:rPr>
              <w:t>gas_transport</w:t>
            </w:r>
          </w:p>
        </w:tc>
        <w:tc>
          <w:tcPr>
            <w:tcW w:type="dxa" w:w="1296"/>
            <w:shd w:fill="F9FBFC"/>
            <w:tcMar>
              <w:top w:w="90" w:type="dxa"/>
              <w:bottom w:w="90" w:type="dxa"/>
              <w:left w:w="140" w:type="dxa"/>
              <w:right w:w="140" w:type="dxa"/>
            </w:tcMar>
          </w:tcPr>
          <w:p>
            <w:pPr>
              <w:jc w:val="right"/>
            </w:pPr>
            <w:r>
              <w:rPr>
                <w:color w:val="2C3E50"/>
                <w:sz w:val="19"/>
              </w:rPr>
              <w:t>2</w:t>
            </w:r>
          </w:p>
        </w:tc>
        <w:tc>
          <w:tcPr>
            <w:tcW w:type="dxa" w:w="1728"/>
            <w:shd w:fill="F9FBFC"/>
            <w:tcMar>
              <w:top w:w="90" w:type="dxa"/>
              <w:bottom w:w="90" w:type="dxa"/>
              <w:left w:w="140" w:type="dxa"/>
              <w:right w:w="140" w:type="dxa"/>
            </w:tcMar>
          </w:tcPr>
          <w:p>
            <w:pPr>
              <w:jc w:val="left"/>
            </w:pPr>
            <w:r>
              <w:rPr>
                <w:color w:val="2C3E50"/>
                <w:sz w:val="19"/>
              </w:rPr>
              <w:t>Patent attorney</w:t>
            </w:r>
          </w:p>
        </w:tc>
        <w:tc>
          <w:tcPr>
            <w:tcW w:type="dxa" w:w="1584"/>
            <w:shd w:fill="F9FBFC"/>
            <w:tcMar>
              <w:top w:w="90" w:type="dxa"/>
              <w:bottom w:w="90" w:type="dxa"/>
              <w:left w:w="140" w:type="dxa"/>
              <w:right w:w="140" w:type="dxa"/>
            </w:tcMar>
          </w:tcPr>
          <w:p>
            <w:pPr>
              <w:jc w:val="right"/>
            </w:pPr>
            <w:r>
              <w:rPr>
                <w:color w:val="2C3E50"/>
                <w:sz w:val="19"/>
              </w:rPr>
              <w:t>0.00210 (210 records)</w:t>
            </w:r>
          </w:p>
        </w:tc>
      </w:tr>
      <w:tr>
        <w:tc>
          <w:tcPr>
            <w:tcW w:type="dxa" w:w="1152"/>
            <w:shd w:fill="FFFFFF"/>
            <w:tcMar>
              <w:top w:w="90" w:type="dxa"/>
              <w:bottom w:w="90" w:type="dxa"/>
              <w:left w:w="140" w:type="dxa"/>
              <w:right w:w="140" w:type="dxa"/>
            </w:tcMar>
          </w:tcPr>
          <w:p>
            <w:pPr>
              <w:jc w:val="left"/>
            </w:pPr>
            <w:r>
              <w:rPr>
                <w:color w:val="2C3E50"/>
                <w:sz w:val="19"/>
              </w:rPr>
              <w:t>#4</w:t>
            </w:r>
          </w:p>
        </w:tc>
        <w:tc>
          <w:tcPr>
            <w:tcW w:type="dxa" w:w="1296"/>
            <w:shd w:fill="FFFFFF"/>
            <w:tcMar>
              <w:top w:w="90" w:type="dxa"/>
              <w:bottom w:w="90" w:type="dxa"/>
              <w:left w:w="140" w:type="dxa"/>
              <w:right w:w="140" w:type="dxa"/>
            </w:tcMar>
          </w:tcPr>
          <w:p>
            <w:pPr>
              <w:jc w:val="left"/>
            </w:pPr>
            <w:r>
              <w:rPr>
                <w:color w:val="2C3E50"/>
                <w:sz w:val="19"/>
              </w:rPr>
              <w:t>M</w:t>
            </w:r>
          </w:p>
        </w:tc>
        <w:tc>
          <w:tcPr>
            <w:tcW w:type="dxa" w:w="1296"/>
            <w:shd w:fill="FFFFFF"/>
            <w:tcMar>
              <w:top w:w="90" w:type="dxa"/>
              <w:bottom w:w="90" w:type="dxa"/>
              <w:left w:w="140" w:type="dxa"/>
              <w:right w:w="140" w:type="dxa"/>
            </w:tcMar>
          </w:tcPr>
          <w:p>
            <w:pPr>
              <w:jc w:val="right"/>
            </w:pPr>
            <w:r>
              <w:rPr>
                <w:color w:val="2C3E50"/>
                <w:sz w:val="19"/>
              </w:rPr>
              <w:t>1</w:t>
            </w:r>
          </w:p>
        </w:tc>
        <w:tc>
          <w:tcPr>
            <w:tcW w:type="dxa" w:w="1440"/>
            <w:shd w:fill="FFFFFF"/>
            <w:tcMar>
              <w:top w:w="90" w:type="dxa"/>
              <w:bottom w:w="90" w:type="dxa"/>
              <w:left w:w="140" w:type="dxa"/>
              <w:right w:w="140" w:type="dxa"/>
            </w:tcMar>
          </w:tcPr>
          <w:p>
            <w:pPr>
              <w:jc w:val="left"/>
            </w:pPr>
            <w:r>
              <w:rPr>
                <w:color w:val="2C3E50"/>
                <w:sz w:val="19"/>
              </w:rPr>
              <w:t>misc_pos</w:t>
            </w:r>
          </w:p>
        </w:tc>
        <w:tc>
          <w:tcPr>
            <w:tcW w:type="dxa" w:w="1296"/>
            <w:shd w:fill="FFFFFF"/>
            <w:tcMar>
              <w:top w:w="90" w:type="dxa"/>
              <w:bottom w:w="90" w:type="dxa"/>
              <w:left w:w="140" w:type="dxa"/>
              <w:right w:w="140" w:type="dxa"/>
            </w:tcMar>
          </w:tcPr>
          <w:p>
            <w:pPr>
              <w:jc w:val="right"/>
            </w:pPr>
            <w:r>
              <w:rPr>
                <w:color w:val="2C3E50"/>
                <w:sz w:val="19"/>
              </w:rPr>
              <w:t>9</w:t>
            </w:r>
          </w:p>
        </w:tc>
        <w:tc>
          <w:tcPr>
            <w:tcW w:type="dxa" w:w="1728"/>
            <w:shd w:fill="FFFFFF"/>
            <w:tcMar>
              <w:top w:w="90" w:type="dxa"/>
              <w:bottom w:w="90" w:type="dxa"/>
              <w:left w:w="140" w:type="dxa"/>
              <w:right w:w="140" w:type="dxa"/>
            </w:tcMar>
          </w:tcPr>
          <w:p>
            <w:pPr>
              <w:jc w:val="left"/>
            </w:pPr>
            <w:r>
              <w:rPr>
                <w:color w:val="2C3E50"/>
                <w:sz w:val="19"/>
              </w:rPr>
              <w:t>Quantitative analyst</w:t>
            </w:r>
          </w:p>
        </w:tc>
        <w:tc>
          <w:tcPr>
            <w:tcW w:type="dxa" w:w="1584"/>
            <w:shd w:fill="FFFFFF"/>
            <w:tcMar>
              <w:top w:w="90" w:type="dxa"/>
              <w:bottom w:w="90" w:type="dxa"/>
              <w:left w:w="140" w:type="dxa"/>
              <w:right w:w="140" w:type="dxa"/>
            </w:tcMar>
          </w:tcPr>
          <w:p>
            <w:pPr>
              <w:jc w:val="right"/>
            </w:pPr>
            <w:r>
              <w:rPr>
                <w:color w:val="2C3E50"/>
                <w:sz w:val="19"/>
              </w:rPr>
              <w:t>0.00195 (195 records)</w:t>
            </w:r>
          </w:p>
        </w:tc>
      </w:tr>
    </w:tbl>
    <w:p>
      <w:pPr>
        <w:spacing w:after="160"/>
      </w:pPr>
    </w:p>
    <w:p>
      <w:pPr>
        <w:pStyle w:val="Heading2"/>
      </w:pPr>
      <w:r>
        <w:rPr>
          <w:color w:val="2C3E50"/>
        </w:rPr>
        <w:t>Notebook 2: Normalization, Scaling &amp; Fixing Skewness (02_normalization_scaling_fixing_skewness.ipynb)</w:t>
      </w:r>
    </w:p>
    <w:p>
      <w:r>
        <w:rPr>
          <w:b/>
        </w:rPr>
        <w:t>1. Fixing Skewness via Log1p Transformation:</w:t>
        <w:br/>
      </w:r>
      <w:r>
        <w:t>Transaction amount ('amt') exhibited extreme right skewness of +26.58. Financial purchases have heavy positive tails (most are $10–$50, but rare transactions reach $12,788+). Linear algorithms, distance calculations, and neural gradients fail under severe skewness because extreme outliers pull the mean and gradient steps. We applied the natural logarithm transformation: log_amt = ln(1 + amt). We used ln(1 + x) instead of ln(x) to prevent undefined negative infinity errors if an amount is zero.</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2304"/>
            <w:shd w:fill="1B365D"/>
            <w:tcMar>
              <w:top w:w="120" w:type="dxa"/>
              <w:bottom w:w="120" w:type="dxa"/>
              <w:left w:w="140" w:type="dxa"/>
              <w:right w:w="140" w:type="dxa"/>
            </w:tcMar>
          </w:tcPr>
          <w:p>
            <w:pPr>
              <w:jc w:val="left"/>
            </w:pPr>
            <w:r>
              <w:rPr>
                <w:b/>
                <w:color w:val="FFFFFF"/>
                <w:sz w:val="19"/>
              </w:rPr>
              <w:t>Feature</w:t>
            </w:r>
          </w:p>
        </w:tc>
        <w:tc>
          <w:tcPr>
            <w:tcW w:type="dxa" w:w="1728"/>
            <w:shd w:fill="1B365D"/>
            <w:tcMar>
              <w:top w:w="120" w:type="dxa"/>
              <w:bottom w:w="120" w:type="dxa"/>
              <w:left w:w="140" w:type="dxa"/>
              <w:right w:w="140" w:type="dxa"/>
            </w:tcMar>
          </w:tcPr>
          <w:p>
            <w:pPr>
              <w:jc w:val="left"/>
            </w:pPr>
            <w:r>
              <w:rPr>
                <w:b/>
                <w:color w:val="FFFFFF"/>
                <w:sz w:val="19"/>
              </w:rPr>
              <w:t>Raw Skewness</w:t>
            </w:r>
          </w:p>
        </w:tc>
        <w:tc>
          <w:tcPr>
            <w:tcW w:type="dxa" w:w="2016"/>
            <w:shd w:fill="1B365D"/>
            <w:tcMar>
              <w:top w:w="120" w:type="dxa"/>
              <w:bottom w:w="120" w:type="dxa"/>
              <w:left w:w="140" w:type="dxa"/>
              <w:right w:w="140" w:type="dxa"/>
            </w:tcMar>
          </w:tcPr>
          <w:p>
            <w:pPr>
              <w:jc w:val="left"/>
            </w:pPr>
            <w:r>
              <w:rPr>
                <w:b/>
                <w:color w:val="FFFFFF"/>
                <w:sz w:val="19"/>
              </w:rPr>
              <w:t>Log1p Skewness</w:t>
            </w:r>
          </w:p>
        </w:tc>
        <w:tc>
          <w:tcPr>
            <w:tcW w:type="dxa" w:w="3744"/>
            <w:shd w:fill="1B365D"/>
            <w:tcMar>
              <w:top w:w="120" w:type="dxa"/>
              <w:bottom w:w="120" w:type="dxa"/>
              <w:left w:w="140" w:type="dxa"/>
              <w:right w:w="140" w:type="dxa"/>
            </w:tcMar>
          </w:tcPr>
          <w:p>
            <w:pPr>
              <w:jc w:val="left"/>
            </w:pPr>
            <w:r>
              <w:rPr>
                <w:b/>
                <w:color w:val="FFFFFF"/>
                <w:sz w:val="19"/>
              </w:rPr>
              <w:t>Transformation Effect &amp; Status</w:t>
            </w:r>
          </w:p>
        </w:tc>
      </w:tr>
      <w:tr>
        <w:tc>
          <w:tcPr>
            <w:tcW w:type="dxa" w:w="2304"/>
            <w:shd w:fill="FFFFFF"/>
            <w:tcMar>
              <w:top w:w="90" w:type="dxa"/>
              <w:bottom w:w="90" w:type="dxa"/>
              <w:left w:w="140" w:type="dxa"/>
              <w:right w:w="140" w:type="dxa"/>
            </w:tcMar>
          </w:tcPr>
          <w:p>
            <w:pPr>
              <w:jc w:val="left"/>
            </w:pPr>
            <w:r>
              <w:rPr>
                <w:color w:val="2C3E50"/>
                <w:sz w:val="19"/>
              </w:rPr>
              <w:t>Transaction Amount (amt)</w:t>
            </w:r>
          </w:p>
        </w:tc>
        <w:tc>
          <w:tcPr>
            <w:tcW w:type="dxa" w:w="1728"/>
            <w:shd w:fill="FFFFFF"/>
            <w:tcMar>
              <w:top w:w="90" w:type="dxa"/>
              <w:bottom w:w="90" w:type="dxa"/>
              <w:left w:w="140" w:type="dxa"/>
              <w:right w:w="140" w:type="dxa"/>
            </w:tcMar>
          </w:tcPr>
          <w:p>
            <w:pPr>
              <w:jc w:val="left"/>
            </w:pPr>
            <w:r>
              <w:rPr>
                <w:color w:val="2C3E50"/>
                <w:sz w:val="19"/>
              </w:rPr>
              <w:t>+26.58 (Severe)</w:t>
            </w:r>
          </w:p>
        </w:tc>
        <w:tc>
          <w:tcPr>
            <w:tcW w:type="dxa" w:w="2016"/>
            <w:shd w:fill="FFFFFF"/>
            <w:tcMar>
              <w:top w:w="90" w:type="dxa"/>
              <w:bottom w:w="90" w:type="dxa"/>
              <w:left w:w="140" w:type="dxa"/>
              <w:right w:w="140" w:type="dxa"/>
            </w:tcMar>
          </w:tcPr>
          <w:p>
            <w:pPr>
              <w:jc w:val="left"/>
            </w:pPr>
            <w:r>
              <w:rPr>
                <w:color w:val="2C3E50"/>
                <w:sz w:val="19"/>
              </w:rPr>
              <w:t>-0.28 (Near-Perfect Normal)</w:t>
            </w:r>
          </w:p>
        </w:tc>
        <w:tc>
          <w:tcPr>
            <w:tcW w:type="dxa" w:w="3744"/>
            <w:shd w:fill="FFFFFF"/>
            <w:tcMar>
              <w:top w:w="90" w:type="dxa"/>
              <w:bottom w:w="90" w:type="dxa"/>
              <w:left w:w="140" w:type="dxa"/>
              <w:right w:w="140" w:type="dxa"/>
            </w:tcMar>
          </w:tcPr>
          <w:p>
            <w:pPr>
              <w:jc w:val="left"/>
            </w:pPr>
            <w:r>
              <w:rPr>
                <w:color w:val="2C3E50"/>
                <w:sz w:val="19"/>
              </w:rPr>
              <w:t>Outlier tail smoothly compressed; normal bell curve achieved!</w:t>
            </w:r>
          </w:p>
        </w:tc>
      </w:tr>
      <w:tr>
        <w:tc>
          <w:tcPr>
            <w:tcW w:type="dxa" w:w="2304"/>
            <w:shd w:fill="F9FBFC"/>
            <w:tcMar>
              <w:top w:w="90" w:type="dxa"/>
              <w:bottom w:w="90" w:type="dxa"/>
              <w:left w:w="140" w:type="dxa"/>
              <w:right w:w="140" w:type="dxa"/>
            </w:tcMar>
          </w:tcPr>
          <w:p>
            <w:pPr>
              <w:jc w:val="left"/>
            </w:pPr>
            <w:r>
              <w:rPr>
                <w:color w:val="2C3E50"/>
                <w:sz w:val="19"/>
              </w:rPr>
              <w:t>City Population (city_pop)</w:t>
            </w:r>
          </w:p>
        </w:tc>
        <w:tc>
          <w:tcPr>
            <w:tcW w:type="dxa" w:w="1728"/>
            <w:shd w:fill="F9FBFC"/>
            <w:tcMar>
              <w:top w:w="90" w:type="dxa"/>
              <w:bottom w:w="90" w:type="dxa"/>
              <w:left w:w="140" w:type="dxa"/>
              <w:right w:w="140" w:type="dxa"/>
            </w:tcMar>
          </w:tcPr>
          <w:p>
            <w:pPr>
              <w:jc w:val="left"/>
            </w:pPr>
            <w:r>
              <w:rPr>
                <w:color w:val="2C3E50"/>
                <w:sz w:val="19"/>
              </w:rPr>
              <w:t>+5.60 (High)</w:t>
            </w:r>
          </w:p>
        </w:tc>
        <w:tc>
          <w:tcPr>
            <w:tcW w:type="dxa" w:w="2016"/>
            <w:shd w:fill="F9FBFC"/>
            <w:tcMar>
              <w:top w:w="90" w:type="dxa"/>
              <w:bottom w:w="90" w:type="dxa"/>
              <w:left w:w="140" w:type="dxa"/>
              <w:right w:w="140" w:type="dxa"/>
            </w:tcMar>
          </w:tcPr>
          <w:p>
            <w:pPr>
              <w:jc w:val="left"/>
            </w:pPr>
            <w:r>
              <w:rPr>
                <w:color w:val="2C3E50"/>
                <w:sz w:val="19"/>
              </w:rPr>
              <w:t>+0.23 (Symmetrical)</w:t>
            </w:r>
          </w:p>
        </w:tc>
        <w:tc>
          <w:tcPr>
            <w:tcW w:type="dxa" w:w="3744"/>
            <w:shd w:fill="F9FBFC"/>
            <w:tcMar>
              <w:top w:w="90" w:type="dxa"/>
              <w:bottom w:w="90" w:type="dxa"/>
              <w:left w:w="140" w:type="dxa"/>
              <w:right w:w="140" w:type="dxa"/>
            </w:tcMar>
          </w:tcPr>
          <w:p>
            <w:pPr>
              <w:jc w:val="left"/>
            </w:pPr>
            <w:r>
              <w:rPr>
                <w:color w:val="2C3E50"/>
                <w:sz w:val="19"/>
              </w:rPr>
              <w:t>Metropolitan population skewness resolved.</w:t>
            </w:r>
          </w:p>
        </w:tc>
      </w:tr>
      <w:tr>
        <w:tc>
          <w:tcPr>
            <w:tcW w:type="dxa" w:w="2304"/>
            <w:shd w:fill="FFFFFF"/>
            <w:tcMar>
              <w:top w:w="90" w:type="dxa"/>
              <w:bottom w:w="90" w:type="dxa"/>
              <w:left w:w="140" w:type="dxa"/>
              <w:right w:w="140" w:type="dxa"/>
            </w:tcMar>
          </w:tcPr>
          <w:p>
            <w:pPr>
              <w:jc w:val="left"/>
            </w:pPr>
            <w:r>
              <w:rPr>
                <w:color w:val="2C3E50"/>
                <w:sz w:val="19"/>
              </w:rPr>
              <w:t>Customer Age</w:t>
            </w:r>
          </w:p>
        </w:tc>
        <w:tc>
          <w:tcPr>
            <w:tcW w:type="dxa" w:w="1728"/>
            <w:shd w:fill="FFFFFF"/>
            <w:tcMar>
              <w:top w:w="90" w:type="dxa"/>
              <w:bottom w:w="90" w:type="dxa"/>
              <w:left w:w="140" w:type="dxa"/>
              <w:right w:w="140" w:type="dxa"/>
            </w:tcMar>
          </w:tcPr>
          <w:p>
            <w:pPr>
              <w:jc w:val="left"/>
            </w:pPr>
            <w:r>
              <w:rPr>
                <w:color w:val="2C3E50"/>
                <w:sz w:val="19"/>
              </w:rPr>
              <w:t>+0.38</w:t>
            </w:r>
          </w:p>
        </w:tc>
        <w:tc>
          <w:tcPr>
            <w:tcW w:type="dxa" w:w="2016"/>
            <w:shd w:fill="FFFFFF"/>
            <w:tcMar>
              <w:top w:w="90" w:type="dxa"/>
              <w:bottom w:w="90" w:type="dxa"/>
              <w:left w:w="140" w:type="dxa"/>
              <w:right w:w="140" w:type="dxa"/>
            </w:tcMar>
          </w:tcPr>
          <w:p>
            <w:pPr>
              <w:jc w:val="left"/>
            </w:pPr>
            <w:r>
              <w:rPr>
                <w:color w:val="2C3E50"/>
                <w:sz w:val="19"/>
              </w:rPr>
              <w:t>N/A</w:t>
            </w:r>
          </w:p>
        </w:tc>
        <w:tc>
          <w:tcPr>
            <w:tcW w:type="dxa" w:w="3744"/>
            <w:shd w:fill="FFFFFF"/>
            <w:tcMar>
              <w:top w:w="90" w:type="dxa"/>
              <w:bottom w:w="90" w:type="dxa"/>
              <w:left w:w="140" w:type="dxa"/>
              <w:right w:w="140" w:type="dxa"/>
            </w:tcMar>
          </w:tcPr>
          <w:p>
            <w:pPr>
              <w:jc w:val="left"/>
            </w:pPr>
            <w:r>
              <w:rPr>
                <w:color w:val="2C3E50"/>
                <w:sz w:val="19"/>
              </w:rPr>
              <w:t>Already roughly symmetrical bell distribution; no transform required.</w:t>
            </w:r>
          </w:p>
        </w:tc>
      </w:tr>
      <w:tr>
        <w:tc>
          <w:tcPr>
            <w:tcW w:type="dxa" w:w="2304"/>
            <w:shd w:fill="F9FBFC"/>
            <w:tcMar>
              <w:top w:w="90" w:type="dxa"/>
              <w:bottom w:w="90" w:type="dxa"/>
              <w:left w:w="140" w:type="dxa"/>
              <w:right w:w="140" w:type="dxa"/>
            </w:tcMar>
          </w:tcPr>
          <w:p>
            <w:pPr>
              <w:jc w:val="left"/>
            </w:pPr>
            <w:r>
              <w:rPr>
                <w:color w:val="2C3E50"/>
                <w:sz w:val="19"/>
              </w:rPr>
              <w:t>Transaction Hour</w:t>
            </w:r>
          </w:p>
        </w:tc>
        <w:tc>
          <w:tcPr>
            <w:tcW w:type="dxa" w:w="1728"/>
            <w:shd w:fill="F9FBFC"/>
            <w:tcMar>
              <w:top w:w="90" w:type="dxa"/>
              <w:bottom w:w="90" w:type="dxa"/>
              <w:left w:w="140" w:type="dxa"/>
              <w:right w:w="140" w:type="dxa"/>
            </w:tcMar>
          </w:tcPr>
          <w:p>
            <w:pPr>
              <w:jc w:val="left"/>
            </w:pPr>
            <w:r>
              <w:rPr>
                <w:color w:val="2C3E50"/>
                <w:sz w:val="19"/>
              </w:rPr>
              <w:t>+0.01</w:t>
            </w:r>
          </w:p>
        </w:tc>
        <w:tc>
          <w:tcPr>
            <w:tcW w:type="dxa" w:w="2016"/>
            <w:shd w:fill="F9FBFC"/>
            <w:tcMar>
              <w:top w:w="90" w:type="dxa"/>
              <w:bottom w:w="90" w:type="dxa"/>
              <w:left w:w="140" w:type="dxa"/>
              <w:right w:w="140" w:type="dxa"/>
            </w:tcMar>
          </w:tcPr>
          <w:p>
            <w:pPr>
              <w:jc w:val="left"/>
            </w:pPr>
            <w:r>
              <w:rPr>
                <w:color w:val="2C3E50"/>
                <w:sz w:val="19"/>
              </w:rPr>
              <w:t>N/A</w:t>
            </w:r>
          </w:p>
        </w:tc>
        <w:tc>
          <w:tcPr>
            <w:tcW w:type="dxa" w:w="3744"/>
            <w:shd w:fill="F9FBFC"/>
            <w:tcMar>
              <w:top w:w="90" w:type="dxa"/>
              <w:bottom w:w="90" w:type="dxa"/>
              <w:left w:w="140" w:type="dxa"/>
              <w:right w:w="140" w:type="dxa"/>
            </w:tcMar>
          </w:tcPr>
          <w:p>
            <w:pPr>
              <w:jc w:val="left"/>
            </w:pPr>
            <w:r>
              <w:rPr>
                <w:color w:val="2C3E50"/>
                <w:sz w:val="19"/>
              </w:rPr>
              <w:t>Uniform 24-hour distribution; no transform required.</w:t>
            </w:r>
          </w:p>
        </w:tc>
      </w:tr>
    </w:tbl>
    <w:p>
      <w:pPr>
        <w:spacing w:after="120"/>
      </w:pP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week6_skewness_fix.png"/>
                    <pic:cNvPicPr/>
                  </pic:nvPicPr>
                  <pic:blipFill>
                    <a:blip r:embed="rId11"/>
                    <a:stretch>
                      <a:fillRect/>
                    </a:stretch>
                  </pic:blipFill>
                  <pic:spPr>
                    <a:xfrm>
                      <a:off x="0" y="0"/>
                      <a:ext cx="5669280" cy="2267712"/>
                    </a:xfrm>
                    <a:prstGeom prst="rect"/>
                  </pic:spPr>
                </pic:pic>
              </a:graphicData>
            </a:graphic>
          </wp:inline>
        </w:drawing>
      </w:r>
    </w:p>
    <w:p>
      <w:pPr>
        <w:spacing w:after="160"/>
        <w:jc w:val="center"/>
      </w:pPr>
      <w:r>
        <w:rPr>
          <w:i/>
          <w:sz w:val="17"/>
        </w:rPr>
        <w:t>Figure 3: Week 6 Skewness Fix — Raw Amount Distribution (+26.58) vs. Log-Transformed Distribution (-0.28)</w:t>
      </w:r>
    </w:p>
    <w:p>
      <w:r>
        <w:rPr>
          <w:b/>
        </w:rPr>
        <w:t>2. Feature Scaling (StandardScaler):</w:t>
        <w:br/>
      </w:r>
      <w:r>
        <w:t>Amounts reach thousands of dollars, whereas transaction hours span 0 to 23 and age spans 18 to 95. Without scaling, distance metrics (PCA, KNN, K-Means) treat a $1,000 difference as thousands of times more impactful than a 10-hour difference in time. We applied StandardScaler (z = (x - mu) / sigma) to give continuous features zero mean (mu = 0) and unit variance (sigma = 1.0).</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987"/>
        <w:gridCol w:w="1987"/>
        <w:gridCol w:w="1987"/>
        <w:gridCol w:w="1987"/>
        <w:gridCol w:w="1987"/>
      </w:tblGrid>
      <w:tr>
        <w:tc>
          <w:tcPr>
            <w:tcW w:type="dxa" w:w="2592"/>
            <w:shd w:fill="1B365D"/>
            <w:tcMar>
              <w:top w:w="120" w:type="dxa"/>
              <w:bottom w:w="120" w:type="dxa"/>
              <w:left w:w="140" w:type="dxa"/>
              <w:right w:w="140" w:type="dxa"/>
            </w:tcMar>
          </w:tcPr>
          <w:p>
            <w:pPr>
              <w:jc w:val="left"/>
            </w:pPr>
            <w:r>
              <w:rPr>
                <w:b/>
                <w:color w:val="FFFFFF"/>
                <w:sz w:val="19"/>
              </w:rPr>
              <w:t>Feature Name</w:t>
            </w:r>
          </w:p>
        </w:tc>
        <w:tc>
          <w:tcPr>
            <w:tcW w:type="dxa" w:w="1728"/>
            <w:shd w:fill="1B365D"/>
            <w:tcMar>
              <w:top w:w="120" w:type="dxa"/>
              <w:bottom w:w="120" w:type="dxa"/>
              <w:left w:w="140" w:type="dxa"/>
              <w:right w:w="140" w:type="dxa"/>
            </w:tcMar>
          </w:tcPr>
          <w:p>
            <w:pPr>
              <w:jc w:val="right"/>
            </w:pPr>
            <w:r>
              <w:rPr>
                <w:b/>
                <w:color w:val="FFFFFF"/>
                <w:sz w:val="19"/>
              </w:rPr>
              <w:t>Transformed Mean (mu)</w:t>
            </w:r>
          </w:p>
        </w:tc>
        <w:tc>
          <w:tcPr>
            <w:tcW w:type="dxa" w:w="1872"/>
            <w:shd w:fill="1B365D"/>
            <w:tcMar>
              <w:top w:w="120" w:type="dxa"/>
              <w:bottom w:w="120" w:type="dxa"/>
              <w:left w:w="140" w:type="dxa"/>
              <w:right w:w="140" w:type="dxa"/>
            </w:tcMar>
          </w:tcPr>
          <w:p>
            <w:pPr>
              <w:jc w:val="right"/>
            </w:pPr>
            <w:r>
              <w:rPr>
                <w:b/>
                <w:color w:val="FFFFFF"/>
                <w:sz w:val="19"/>
              </w:rPr>
              <w:t>Standard Deviation (sigma)</w:t>
            </w:r>
          </w:p>
        </w:tc>
        <w:tc>
          <w:tcPr>
            <w:tcW w:type="dxa" w:w="1584"/>
            <w:shd w:fill="1B365D"/>
            <w:tcMar>
              <w:top w:w="120" w:type="dxa"/>
              <w:bottom w:w="120" w:type="dxa"/>
              <w:left w:w="140" w:type="dxa"/>
              <w:right w:w="140" w:type="dxa"/>
            </w:tcMar>
          </w:tcPr>
          <w:p>
            <w:pPr>
              <w:jc w:val="right"/>
            </w:pPr>
            <w:r>
              <w:rPr>
                <w:b/>
                <w:color w:val="FFFFFF"/>
                <w:sz w:val="19"/>
              </w:rPr>
              <w:t>Min (z-score)</w:t>
            </w:r>
          </w:p>
        </w:tc>
        <w:tc>
          <w:tcPr>
            <w:tcW w:type="dxa" w:w="1584"/>
            <w:shd w:fill="1B365D"/>
            <w:tcMar>
              <w:top w:w="120" w:type="dxa"/>
              <w:bottom w:w="120" w:type="dxa"/>
              <w:left w:w="140" w:type="dxa"/>
              <w:right w:w="140" w:type="dxa"/>
            </w:tcMar>
          </w:tcPr>
          <w:p>
            <w:pPr>
              <w:jc w:val="right"/>
            </w:pPr>
            <w:r>
              <w:rPr>
                <w:b/>
                <w:color w:val="FFFFFF"/>
                <w:sz w:val="19"/>
              </w:rPr>
              <w:t>Max (z-score)</w:t>
            </w:r>
          </w:p>
        </w:tc>
      </w:tr>
      <w:tr>
        <w:tc>
          <w:tcPr>
            <w:tcW w:type="dxa" w:w="2592"/>
            <w:shd w:fill="FFFFFF"/>
            <w:tcMar>
              <w:top w:w="90" w:type="dxa"/>
              <w:bottom w:w="90" w:type="dxa"/>
              <w:left w:w="140" w:type="dxa"/>
              <w:right w:w="140" w:type="dxa"/>
            </w:tcMar>
          </w:tcPr>
          <w:p>
            <w:pPr>
              <w:jc w:val="left"/>
            </w:pPr>
            <w:r>
              <w:rPr>
                <w:color w:val="2C3E50"/>
                <w:sz w:val="19"/>
              </w:rPr>
              <w:t>log_amt_std</w:t>
            </w:r>
          </w:p>
        </w:tc>
        <w:tc>
          <w:tcPr>
            <w:tcW w:type="dxa" w:w="1728"/>
            <w:shd w:fill="FFFFFF"/>
            <w:tcMar>
              <w:top w:w="90" w:type="dxa"/>
              <w:bottom w:w="90" w:type="dxa"/>
              <w:left w:w="140" w:type="dxa"/>
              <w:right w:w="140" w:type="dxa"/>
            </w:tcMar>
          </w:tcPr>
          <w:p>
            <w:pPr>
              <w:jc w:val="right"/>
            </w:pPr>
            <w:r>
              <w:rPr>
                <w:color w:val="2C3E50"/>
                <w:sz w:val="19"/>
              </w:rPr>
              <w:t>-0.0000</w:t>
            </w:r>
          </w:p>
        </w:tc>
        <w:tc>
          <w:tcPr>
            <w:tcW w:type="dxa" w:w="1872"/>
            <w:shd w:fill="FFFFFF"/>
            <w:tcMar>
              <w:top w:w="90" w:type="dxa"/>
              <w:bottom w:w="90" w:type="dxa"/>
              <w:left w:w="140" w:type="dxa"/>
              <w:right w:w="140" w:type="dxa"/>
            </w:tcMar>
          </w:tcPr>
          <w:p>
            <w:pPr>
              <w:jc w:val="right"/>
            </w:pPr>
            <w:r>
              <w:rPr>
                <w:color w:val="2C3E50"/>
                <w:sz w:val="19"/>
              </w:rPr>
              <w:t>1.0000</w:t>
            </w:r>
          </w:p>
        </w:tc>
        <w:tc>
          <w:tcPr>
            <w:tcW w:type="dxa" w:w="1584"/>
            <w:shd w:fill="FFFFFF"/>
            <w:tcMar>
              <w:top w:w="90" w:type="dxa"/>
              <w:bottom w:w="90" w:type="dxa"/>
              <w:left w:w="140" w:type="dxa"/>
              <w:right w:w="140" w:type="dxa"/>
            </w:tcMar>
          </w:tcPr>
          <w:p>
            <w:pPr>
              <w:jc w:val="right"/>
            </w:pPr>
            <w:r>
              <w:rPr>
                <w:color w:val="2C3E50"/>
                <w:sz w:val="19"/>
              </w:rPr>
              <w:t>-3.6123</w:t>
            </w:r>
          </w:p>
        </w:tc>
        <w:tc>
          <w:tcPr>
            <w:tcW w:type="dxa" w:w="1584"/>
            <w:shd w:fill="FFFFFF"/>
            <w:tcMar>
              <w:top w:w="90" w:type="dxa"/>
              <w:bottom w:w="90" w:type="dxa"/>
              <w:left w:w="140" w:type="dxa"/>
              <w:right w:w="140" w:type="dxa"/>
            </w:tcMar>
          </w:tcPr>
          <w:p>
            <w:pPr>
              <w:jc w:val="right"/>
            </w:pPr>
            <w:r>
              <w:rPr>
                <w:color w:val="2C3E50"/>
                <w:sz w:val="19"/>
              </w:rPr>
              <w:t>+4.4079</w:t>
            </w:r>
          </w:p>
        </w:tc>
      </w:tr>
      <w:tr>
        <w:tc>
          <w:tcPr>
            <w:tcW w:type="dxa" w:w="2592"/>
            <w:shd w:fill="F9FBFC"/>
            <w:tcMar>
              <w:top w:w="90" w:type="dxa"/>
              <w:bottom w:w="90" w:type="dxa"/>
              <w:left w:w="140" w:type="dxa"/>
              <w:right w:w="140" w:type="dxa"/>
            </w:tcMar>
          </w:tcPr>
          <w:p>
            <w:pPr>
              <w:jc w:val="left"/>
            </w:pPr>
            <w:r>
              <w:rPr>
                <w:color w:val="2C3E50"/>
                <w:sz w:val="19"/>
              </w:rPr>
              <w:t>log_city_pop_std</w:t>
            </w:r>
          </w:p>
        </w:tc>
        <w:tc>
          <w:tcPr>
            <w:tcW w:type="dxa" w:w="1728"/>
            <w:shd w:fill="F9FBFC"/>
            <w:tcMar>
              <w:top w:w="90" w:type="dxa"/>
              <w:bottom w:w="90" w:type="dxa"/>
              <w:left w:w="140" w:type="dxa"/>
              <w:right w:w="140" w:type="dxa"/>
            </w:tcMar>
          </w:tcPr>
          <w:p>
            <w:pPr>
              <w:jc w:val="right"/>
            </w:pPr>
            <w:r>
              <w:rPr>
                <w:color w:val="2C3E50"/>
                <w:sz w:val="19"/>
              </w:rPr>
              <w:t>-0.0000</w:t>
            </w:r>
          </w:p>
        </w:tc>
        <w:tc>
          <w:tcPr>
            <w:tcW w:type="dxa" w:w="1872"/>
            <w:shd w:fill="F9FBFC"/>
            <w:tcMar>
              <w:top w:w="90" w:type="dxa"/>
              <w:bottom w:w="90" w:type="dxa"/>
              <w:left w:w="140" w:type="dxa"/>
              <w:right w:w="140" w:type="dxa"/>
            </w:tcMar>
          </w:tcPr>
          <w:p>
            <w:pPr>
              <w:jc w:val="right"/>
            </w:pPr>
            <w:r>
              <w:rPr>
                <w:color w:val="2C3E50"/>
                <w:sz w:val="19"/>
              </w:rPr>
              <w:t>1.0000</w:t>
            </w:r>
          </w:p>
        </w:tc>
        <w:tc>
          <w:tcPr>
            <w:tcW w:type="dxa" w:w="1584"/>
            <w:shd w:fill="F9FBFC"/>
            <w:tcMar>
              <w:top w:w="90" w:type="dxa"/>
              <w:bottom w:w="90" w:type="dxa"/>
              <w:left w:w="140" w:type="dxa"/>
              <w:right w:w="140" w:type="dxa"/>
            </w:tcMar>
          </w:tcPr>
          <w:p>
            <w:pPr>
              <w:jc w:val="right"/>
            </w:pPr>
            <w:r>
              <w:rPr>
                <w:color w:val="2C3E50"/>
                <w:sz w:val="19"/>
              </w:rPr>
              <w:t>-2.4827</w:t>
            </w:r>
          </w:p>
        </w:tc>
        <w:tc>
          <w:tcPr>
            <w:tcW w:type="dxa" w:w="1584"/>
            <w:shd w:fill="F9FBFC"/>
            <w:tcMar>
              <w:top w:w="90" w:type="dxa"/>
              <w:bottom w:w="90" w:type="dxa"/>
              <w:left w:w="140" w:type="dxa"/>
              <w:right w:w="140" w:type="dxa"/>
            </w:tcMar>
          </w:tcPr>
          <w:p>
            <w:pPr>
              <w:jc w:val="right"/>
            </w:pPr>
            <w:r>
              <w:rPr>
                <w:color w:val="2C3E50"/>
                <w:sz w:val="19"/>
              </w:rPr>
              <w:t>+2.4172</w:t>
            </w:r>
          </w:p>
        </w:tc>
      </w:tr>
      <w:tr>
        <w:tc>
          <w:tcPr>
            <w:tcW w:type="dxa" w:w="2592"/>
            <w:shd w:fill="FFFFFF"/>
            <w:tcMar>
              <w:top w:w="90" w:type="dxa"/>
              <w:bottom w:w="90" w:type="dxa"/>
              <w:left w:w="140" w:type="dxa"/>
              <w:right w:w="140" w:type="dxa"/>
            </w:tcMar>
          </w:tcPr>
          <w:p>
            <w:pPr>
              <w:jc w:val="left"/>
            </w:pPr>
            <w:r>
              <w:rPr>
                <w:color w:val="2C3E50"/>
                <w:sz w:val="19"/>
              </w:rPr>
              <w:t>customer_age_std</w:t>
            </w:r>
          </w:p>
        </w:tc>
        <w:tc>
          <w:tcPr>
            <w:tcW w:type="dxa" w:w="1728"/>
            <w:shd w:fill="FFFFFF"/>
            <w:tcMar>
              <w:top w:w="90" w:type="dxa"/>
              <w:bottom w:w="90" w:type="dxa"/>
              <w:left w:w="140" w:type="dxa"/>
              <w:right w:w="140" w:type="dxa"/>
            </w:tcMar>
          </w:tcPr>
          <w:p>
            <w:pPr>
              <w:jc w:val="right"/>
            </w:pPr>
            <w:r>
              <w:rPr>
                <w:color w:val="2C3E50"/>
                <w:sz w:val="19"/>
              </w:rPr>
              <w:t>-0.0000</w:t>
            </w:r>
          </w:p>
        </w:tc>
        <w:tc>
          <w:tcPr>
            <w:tcW w:type="dxa" w:w="1872"/>
            <w:shd w:fill="FFFFFF"/>
            <w:tcMar>
              <w:top w:w="90" w:type="dxa"/>
              <w:bottom w:w="90" w:type="dxa"/>
              <w:left w:w="140" w:type="dxa"/>
              <w:right w:w="140" w:type="dxa"/>
            </w:tcMar>
          </w:tcPr>
          <w:p>
            <w:pPr>
              <w:jc w:val="right"/>
            </w:pPr>
            <w:r>
              <w:rPr>
                <w:color w:val="2C3E50"/>
                <w:sz w:val="19"/>
              </w:rPr>
              <w:t>1.0000</w:t>
            </w:r>
          </w:p>
        </w:tc>
        <w:tc>
          <w:tcPr>
            <w:tcW w:type="dxa" w:w="1584"/>
            <w:shd w:fill="FFFFFF"/>
            <w:tcMar>
              <w:top w:w="90" w:type="dxa"/>
              <w:bottom w:w="90" w:type="dxa"/>
              <w:left w:w="140" w:type="dxa"/>
              <w:right w:w="140" w:type="dxa"/>
            </w:tcMar>
          </w:tcPr>
          <w:p>
            <w:pPr>
              <w:jc w:val="right"/>
            </w:pPr>
            <w:r>
              <w:rPr>
                <w:color w:val="2C3E50"/>
                <w:sz w:val="19"/>
              </w:rPr>
              <w:t>-1.7224</w:t>
            </w:r>
          </w:p>
        </w:tc>
        <w:tc>
          <w:tcPr>
            <w:tcW w:type="dxa" w:w="1584"/>
            <w:shd w:fill="FFFFFF"/>
            <w:tcMar>
              <w:top w:w="90" w:type="dxa"/>
              <w:bottom w:w="90" w:type="dxa"/>
              <w:left w:w="140" w:type="dxa"/>
              <w:right w:w="140" w:type="dxa"/>
            </w:tcMar>
          </w:tcPr>
          <w:p>
            <w:pPr>
              <w:jc w:val="right"/>
            </w:pPr>
            <w:r>
              <w:rPr>
                <w:color w:val="2C3E50"/>
                <w:sz w:val="19"/>
              </w:rPr>
              <w:t>+2.8318</w:t>
            </w:r>
          </w:p>
        </w:tc>
      </w:tr>
      <w:tr>
        <w:tc>
          <w:tcPr>
            <w:tcW w:type="dxa" w:w="2592"/>
            <w:shd w:fill="F9FBFC"/>
            <w:tcMar>
              <w:top w:w="90" w:type="dxa"/>
              <w:bottom w:w="90" w:type="dxa"/>
              <w:left w:w="140" w:type="dxa"/>
              <w:right w:w="140" w:type="dxa"/>
            </w:tcMar>
          </w:tcPr>
          <w:p>
            <w:pPr>
              <w:jc w:val="left"/>
            </w:pPr>
            <w:r>
              <w:rPr>
                <w:color w:val="2C3E50"/>
                <w:sz w:val="19"/>
              </w:rPr>
              <w:t>transaction_hour_std</w:t>
            </w:r>
          </w:p>
        </w:tc>
        <w:tc>
          <w:tcPr>
            <w:tcW w:type="dxa" w:w="1728"/>
            <w:shd w:fill="F9FBFC"/>
            <w:tcMar>
              <w:top w:w="90" w:type="dxa"/>
              <w:bottom w:w="90" w:type="dxa"/>
              <w:left w:w="140" w:type="dxa"/>
              <w:right w:w="140" w:type="dxa"/>
            </w:tcMar>
          </w:tcPr>
          <w:p>
            <w:pPr>
              <w:jc w:val="right"/>
            </w:pPr>
            <w:r>
              <w:rPr>
                <w:color w:val="2C3E50"/>
                <w:sz w:val="19"/>
              </w:rPr>
              <w:t>-0.0000</w:t>
            </w:r>
          </w:p>
        </w:tc>
        <w:tc>
          <w:tcPr>
            <w:tcW w:type="dxa" w:w="1872"/>
            <w:shd w:fill="F9FBFC"/>
            <w:tcMar>
              <w:top w:w="90" w:type="dxa"/>
              <w:bottom w:w="90" w:type="dxa"/>
              <w:left w:w="140" w:type="dxa"/>
              <w:right w:w="140" w:type="dxa"/>
            </w:tcMar>
          </w:tcPr>
          <w:p>
            <w:pPr>
              <w:jc w:val="right"/>
            </w:pPr>
            <w:r>
              <w:rPr>
                <w:color w:val="2C3E50"/>
                <w:sz w:val="19"/>
              </w:rPr>
              <w:t>1.0000</w:t>
            </w:r>
          </w:p>
        </w:tc>
        <w:tc>
          <w:tcPr>
            <w:tcW w:type="dxa" w:w="1584"/>
            <w:shd w:fill="F9FBFC"/>
            <w:tcMar>
              <w:top w:w="90" w:type="dxa"/>
              <w:bottom w:w="90" w:type="dxa"/>
              <w:left w:w="140" w:type="dxa"/>
              <w:right w:w="140" w:type="dxa"/>
            </w:tcMar>
          </w:tcPr>
          <w:p>
            <w:pPr>
              <w:jc w:val="right"/>
            </w:pPr>
            <w:r>
              <w:rPr>
                <w:color w:val="2C3E50"/>
                <w:sz w:val="19"/>
              </w:rPr>
              <w:t>-1.8688</w:t>
            </w:r>
          </w:p>
        </w:tc>
        <w:tc>
          <w:tcPr>
            <w:tcW w:type="dxa" w:w="1584"/>
            <w:shd w:fill="F9FBFC"/>
            <w:tcMar>
              <w:top w:w="90" w:type="dxa"/>
              <w:bottom w:w="90" w:type="dxa"/>
              <w:left w:w="140" w:type="dxa"/>
              <w:right w:w="140" w:type="dxa"/>
            </w:tcMar>
          </w:tcPr>
          <w:p>
            <w:pPr>
              <w:jc w:val="right"/>
            </w:pPr>
            <w:r>
              <w:rPr>
                <w:color w:val="2C3E50"/>
                <w:sz w:val="19"/>
              </w:rPr>
              <w:t>+1.5646</w:t>
            </w:r>
          </w:p>
        </w:tc>
      </w:tr>
      <w:tr>
        <w:tc>
          <w:tcPr>
            <w:tcW w:type="dxa" w:w="2592"/>
            <w:shd w:fill="FFFFFF"/>
            <w:tcMar>
              <w:top w:w="90" w:type="dxa"/>
              <w:bottom w:w="90" w:type="dxa"/>
              <w:left w:w="140" w:type="dxa"/>
              <w:right w:w="140" w:type="dxa"/>
            </w:tcMar>
          </w:tcPr>
          <w:p>
            <w:pPr>
              <w:jc w:val="left"/>
            </w:pPr>
            <w:r>
              <w:rPr>
                <w:color w:val="2C3E50"/>
                <w:sz w:val="19"/>
              </w:rPr>
              <w:t>category_code_std</w:t>
            </w:r>
          </w:p>
        </w:tc>
        <w:tc>
          <w:tcPr>
            <w:tcW w:type="dxa" w:w="1728"/>
            <w:shd w:fill="FFFFFF"/>
            <w:tcMar>
              <w:top w:w="90" w:type="dxa"/>
              <w:bottom w:w="90" w:type="dxa"/>
              <w:left w:w="140" w:type="dxa"/>
              <w:right w:w="140" w:type="dxa"/>
            </w:tcMar>
          </w:tcPr>
          <w:p>
            <w:pPr>
              <w:jc w:val="right"/>
            </w:pPr>
            <w:r>
              <w:rPr>
                <w:color w:val="2C3E50"/>
                <w:sz w:val="19"/>
              </w:rPr>
              <w:t>-0.0000</w:t>
            </w:r>
          </w:p>
        </w:tc>
        <w:tc>
          <w:tcPr>
            <w:tcW w:type="dxa" w:w="1872"/>
            <w:shd w:fill="FFFFFF"/>
            <w:tcMar>
              <w:top w:w="90" w:type="dxa"/>
              <w:bottom w:w="90" w:type="dxa"/>
              <w:left w:w="140" w:type="dxa"/>
              <w:right w:w="140" w:type="dxa"/>
            </w:tcMar>
          </w:tcPr>
          <w:p>
            <w:pPr>
              <w:jc w:val="right"/>
            </w:pPr>
            <w:r>
              <w:rPr>
                <w:color w:val="2C3E50"/>
                <w:sz w:val="19"/>
              </w:rPr>
              <w:t>1.0000</w:t>
            </w:r>
          </w:p>
        </w:tc>
        <w:tc>
          <w:tcPr>
            <w:tcW w:type="dxa" w:w="1584"/>
            <w:shd w:fill="FFFFFF"/>
            <w:tcMar>
              <w:top w:w="90" w:type="dxa"/>
              <w:bottom w:w="90" w:type="dxa"/>
              <w:left w:w="140" w:type="dxa"/>
              <w:right w:w="140" w:type="dxa"/>
            </w:tcMar>
          </w:tcPr>
          <w:p>
            <w:pPr>
              <w:jc w:val="right"/>
            </w:pPr>
            <w:r>
              <w:rPr>
                <w:color w:val="2C3E50"/>
                <w:sz w:val="19"/>
              </w:rPr>
              <w:t>-1.4193</w:t>
            </w:r>
          </w:p>
        </w:tc>
        <w:tc>
          <w:tcPr>
            <w:tcW w:type="dxa" w:w="1584"/>
            <w:shd w:fill="FFFFFF"/>
            <w:tcMar>
              <w:top w:w="90" w:type="dxa"/>
              <w:bottom w:w="90" w:type="dxa"/>
              <w:left w:w="140" w:type="dxa"/>
              <w:right w:w="140" w:type="dxa"/>
            </w:tcMar>
          </w:tcPr>
          <w:p>
            <w:pPr>
              <w:jc w:val="right"/>
            </w:pPr>
            <w:r>
              <w:rPr>
                <w:color w:val="2C3E50"/>
                <w:sz w:val="19"/>
              </w:rPr>
              <w:t>+1.8791</w:t>
            </w:r>
          </w:p>
        </w:tc>
      </w:tr>
    </w:tbl>
    <w:p>
      <w:pPr>
        <w:spacing w:after="120"/>
      </w:pPr>
    </w:p>
    <w:p>
      <w:r>
        <w:rPr>
          <w:b/>
        </w:rPr>
        <w:t>3. Domain Feature Engineering:</w:t>
        <w:br/>
      </w:r>
      <w:r>
        <w:t>• Haversine Distance (distance_km): Physical spherical separation in km between customer GPS and merchant GPS coordinates.</w:t>
        <w:br/>
        <w:t>• Night Flag (is_night): Binary indicator set to 1 if the transaction occurred during peak fraud hours (10:00 PM to 3:00 AM).</w:t>
      </w:r>
    </w:p>
    <w:p>
      <w:r>
        <w:br w:type="page"/>
      </w:r>
    </w:p>
    <w:p>
      <w:pPr>
        <w:pStyle w:val="Heading1"/>
        <w:spacing w:before="200" w:after="80"/>
      </w:pPr>
      <w:r>
        <w:rPr>
          <w:color w:val="1B365D"/>
        </w:rPr>
        <w:t>PART 3: Deep Dive into Week 7 (Dimensionality Reduction &amp; PCA)</w:t>
      </w:r>
    </w:p>
    <w:p>
      <w:r>
        <w:t>With 10 engineered features ready, Week 7 focuses on: (1) statistically ranking which features actually separate fraud from non-fraud, (2) filtering zero-variance signals, and (3) compressing multi-dimensional variance using Principal Component Analysis (PCA).</w:t>
      </w:r>
    </w:p>
    <w:p>
      <w:pPr>
        <w:pStyle w:val="Heading2"/>
      </w:pPr>
      <w:r>
        <w:rPr>
          <w:color w:val="2C3E50"/>
        </w:rPr>
        <w:t>Notebook 3: Feature Selection &amp; Variance Analysis (03_feature_selection_and_variance.ipynb)</w:t>
      </w:r>
    </w:p>
    <w:p>
      <w:r>
        <w:t>1. Variance Thresholding: We computed Var(X) with a baseline threshold of 0.01. All scaled continuous features had Var ~ 1.0, gender_encoded had 0.248, and is_night had 0.181. Confirmed zero dead or constant columns.</w:t>
        <w:br/>
        <w:br/>
        <w:t>2. ANOVA F-Statistic Ranking (f_classif): The ANOVA F-test measures the ratio of between-group variance (difference between fraud and legitimate means) to within-group variance (internal noise). A higher F-score indicates a stronger linear predictor:</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864"/>
            <w:shd w:fill="1B365D"/>
            <w:tcMar>
              <w:top w:w="120" w:type="dxa"/>
              <w:bottom w:w="120" w:type="dxa"/>
              <w:left w:w="140" w:type="dxa"/>
              <w:right w:w="140" w:type="dxa"/>
            </w:tcMar>
          </w:tcPr>
          <w:p>
            <w:pPr>
              <w:jc w:val="left"/>
            </w:pPr>
            <w:r>
              <w:rPr>
                <w:b/>
                <w:color w:val="FFFFFF"/>
                <w:sz w:val="19"/>
              </w:rPr>
              <w:t>Rank</w:t>
            </w:r>
          </w:p>
        </w:tc>
        <w:tc>
          <w:tcPr>
            <w:tcW w:type="dxa" w:w="2160"/>
            <w:shd w:fill="1B365D"/>
            <w:tcMar>
              <w:top w:w="120" w:type="dxa"/>
              <w:bottom w:w="120" w:type="dxa"/>
              <w:left w:w="140" w:type="dxa"/>
              <w:right w:w="140" w:type="dxa"/>
            </w:tcMar>
          </w:tcPr>
          <w:p>
            <w:pPr>
              <w:jc w:val="left"/>
            </w:pPr>
            <w:r>
              <w:rPr>
                <w:b/>
                <w:color w:val="FFFFFF"/>
                <w:sz w:val="19"/>
              </w:rPr>
              <w:t>Feature Name</w:t>
            </w:r>
          </w:p>
        </w:tc>
        <w:tc>
          <w:tcPr>
            <w:tcW w:type="dxa" w:w="2016"/>
            <w:shd w:fill="1B365D"/>
            <w:tcMar>
              <w:top w:w="120" w:type="dxa"/>
              <w:bottom w:w="120" w:type="dxa"/>
              <w:left w:w="140" w:type="dxa"/>
              <w:right w:w="140" w:type="dxa"/>
            </w:tcMar>
          </w:tcPr>
          <w:p>
            <w:pPr>
              <w:jc w:val="right"/>
            </w:pPr>
            <w:r>
              <w:rPr>
                <w:b/>
                <w:color w:val="FFFFFF"/>
                <w:sz w:val="19"/>
              </w:rPr>
              <w:t>ANOVA F-Statistic</w:t>
            </w:r>
          </w:p>
        </w:tc>
        <w:tc>
          <w:tcPr>
            <w:tcW w:type="dxa" w:w="4320"/>
            <w:shd w:fill="1B365D"/>
            <w:tcMar>
              <w:top w:w="120" w:type="dxa"/>
              <w:bottom w:w="120" w:type="dxa"/>
              <w:left w:w="140" w:type="dxa"/>
              <w:right w:w="140" w:type="dxa"/>
            </w:tcMar>
          </w:tcPr>
          <w:p>
            <w:pPr>
              <w:jc w:val="left"/>
            </w:pPr>
            <w:r>
              <w:rPr>
                <w:b/>
                <w:color w:val="FFFFFF"/>
                <w:sz w:val="19"/>
              </w:rPr>
              <w:t>Statistical Role &amp; Faculty Explanation</w:t>
            </w:r>
          </w:p>
        </w:tc>
      </w:tr>
      <w:tr>
        <w:tc>
          <w:tcPr>
            <w:tcW w:type="dxa" w:w="864"/>
            <w:shd w:fill="FFFFFF"/>
            <w:tcMar>
              <w:top w:w="90" w:type="dxa"/>
              <w:bottom w:w="90" w:type="dxa"/>
              <w:left w:w="140" w:type="dxa"/>
              <w:right w:w="140" w:type="dxa"/>
            </w:tcMar>
          </w:tcPr>
          <w:p>
            <w:pPr>
              <w:jc w:val="left"/>
            </w:pPr>
            <w:r>
              <w:rPr>
                <w:color w:val="2C3E50"/>
                <w:sz w:val="19"/>
              </w:rPr>
              <w:t>#1</w:t>
            </w:r>
          </w:p>
        </w:tc>
        <w:tc>
          <w:tcPr>
            <w:tcW w:type="dxa" w:w="2160"/>
            <w:shd w:fill="FFFFFF"/>
            <w:tcMar>
              <w:top w:w="90" w:type="dxa"/>
              <w:bottom w:w="90" w:type="dxa"/>
              <w:left w:w="140" w:type="dxa"/>
              <w:right w:w="140" w:type="dxa"/>
            </w:tcMar>
          </w:tcPr>
          <w:p>
            <w:pPr>
              <w:jc w:val="left"/>
            </w:pPr>
            <w:r>
              <w:rPr>
                <w:color w:val="2C3E50"/>
                <w:sz w:val="19"/>
              </w:rPr>
              <w:t>log_amt</w:t>
            </w:r>
          </w:p>
        </w:tc>
        <w:tc>
          <w:tcPr>
            <w:tcW w:type="dxa" w:w="2016"/>
            <w:shd w:fill="FFFFFF"/>
            <w:tcMar>
              <w:top w:w="90" w:type="dxa"/>
              <w:bottom w:w="90" w:type="dxa"/>
              <w:left w:w="140" w:type="dxa"/>
              <w:right w:w="140" w:type="dxa"/>
            </w:tcMar>
          </w:tcPr>
          <w:p>
            <w:pPr>
              <w:jc w:val="right"/>
            </w:pPr>
            <w:r>
              <w:rPr>
                <w:color w:val="2C3E50"/>
                <w:sz w:val="19"/>
              </w:rPr>
              <w:t>3,163.33</w:t>
            </w:r>
          </w:p>
        </w:tc>
        <w:tc>
          <w:tcPr>
            <w:tcW w:type="dxa" w:w="4320"/>
            <w:shd w:fill="FFFFFF"/>
            <w:tcMar>
              <w:top w:w="90" w:type="dxa"/>
              <w:bottom w:w="90" w:type="dxa"/>
              <w:left w:w="140" w:type="dxa"/>
              <w:right w:w="140" w:type="dxa"/>
            </w:tcMar>
          </w:tcPr>
          <w:p>
            <w:pPr>
              <w:jc w:val="left"/>
            </w:pPr>
            <w:r>
              <w:rPr>
                <w:color w:val="2C3E50"/>
                <w:sz w:val="19"/>
              </w:rPr>
              <w:t>Dominant Predictor: Fraudulent purchases average significantly higher dollar amounts.</w:t>
            </w:r>
          </w:p>
        </w:tc>
      </w:tr>
      <w:tr>
        <w:tc>
          <w:tcPr>
            <w:tcW w:type="dxa" w:w="864"/>
            <w:shd w:fill="F9FBFC"/>
            <w:tcMar>
              <w:top w:w="90" w:type="dxa"/>
              <w:bottom w:w="90" w:type="dxa"/>
              <w:left w:w="140" w:type="dxa"/>
              <w:right w:w="140" w:type="dxa"/>
            </w:tcMar>
          </w:tcPr>
          <w:p>
            <w:pPr>
              <w:jc w:val="left"/>
            </w:pPr>
            <w:r>
              <w:rPr>
                <w:color w:val="2C3E50"/>
                <w:sz w:val="19"/>
              </w:rPr>
              <w:t>#2</w:t>
            </w:r>
          </w:p>
        </w:tc>
        <w:tc>
          <w:tcPr>
            <w:tcW w:type="dxa" w:w="2160"/>
            <w:shd w:fill="F9FBFC"/>
            <w:tcMar>
              <w:top w:w="90" w:type="dxa"/>
              <w:bottom w:w="90" w:type="dxa"/>
              <w:left w:w="140" w:type="dxa"/>
              <w:right w:w="140" w:type="dxa"/>
            </w:tcMar>
          </w:tcPr>
          <w:p>
            <w:pPr>
              <w:jc w:val="left"/>
            </w:pPr>
            <w:r>
              <w:rPr>
                <w:color w:val="2C3E50"/>
                <w:sz w:val="19"/>
              </w:rPr>
              <w:t>is_night</w:t>
            </w:r>
          </w:p>
        </w:tc>
        <w:tc>
          <w:tcPr>
            <w:tcW w:type="dxa" w:w="2016"/>
            <w:shd w:fill="F9FBFC"/>
            <w:tcMar>
              <w:top w:w="90" w:type="dxa"/>
              <w:bottom w:w="90" w:type="dxa"/>
              <w:left w:w="140" w:type="dxa"/>
              <w:right w:w="140" w:type="dxa"/>
            </w:tcMar>
          </w:tcPr>
          <w:p>
            <w:pPr>
              <w:jc w:val="right"/>
            </w:pPr>
            <w:r>
              <w:rPr>
                <w:color w:val="2C3E50"/>
                <w:sz w:val="19"/>
              </w:rPr>
              <w:t>2,777.06</w:t>
            </w:r>
          </w:p>
        </w:tc>
        <w:tc>
          <w:tcPr>
            <w:tcW w:type="dxa" w:w="4320"/>
            <w:shd w:fill="F9FBFC"/>
            <w:tcMar>
              <w:top w:w="90" w:type="dxa"/>
              <w:bottom w:w="90" w:type="dxa"/>
              <w:left w:w="140" w:type="dxa"/>
              <w:right w:w="140" w:type="dxa"/>
            </w:tcMar>
          </w:tcPr>
          <w:p>
            <w:pPr>
              <w:jc w:val="left"/>
            </w:pPr>
            <w:r>
              <w:rPr>
                <w:color w:val="2C3E50"/>
                <w:sz w:val="19"/>
              </w:rPr>
              <w:t>Crucial Temporal Signal: Fraud attack density spikes 43x during overnight hours.</w:t>
            </w:r>
          </w:p>
        </w:tc>
      </w:tr>
      <w:tr>
        <w:tc>
          <w:tcPr>
            <w:tcW w:type="dxa" w:w="864"/>
            <w:shd w:fill="FFFFFF"/>
            <w:tcMar>
              <w:top w:w="90" w:type="dxa"/>
              <w:bottom w:w="90" w:type="dxa"/>
              <w:left w:w="140" w:type="dxa"/>
              <w:right w:w="140" w:type="dxa"/>
            </w:tcMar>
          </w:tcPr>
          <w:p>
            <w:pPr>
              <w:jc w:val="left"/>
            </w:pPr>
            <w:r>
              <w:rPr>
                <w:color w:val="2C3E50"/>
                <w:sz w:val="19"/>
              </w:rPr>
              <w:t>#3</w:t>
            </w:r>
          </w:p>
        </w:tc>
        <w:tc>
          <w:tcPr>
            <w:tcW w:type="dxa" w:w="2160"/>
            <w:shd w:fill="FFFFFF"/>
            <w:tcMar>
              <w:top w:w="90" w:type="dxa"/>
              <w:bottom w:w="90" w:type="dxa"/>
              <w:left w:w="140" w:type="dxa"/>
              <w:right w:w="140" w:type="dxa"/>
            </w:tcMar>
          </w:tcPr>
          <w:p>
            <w:pPr>
              <w:jc w:val="left"/>
            </w:pPr>
            <w:r>
              <w:rPr>
                <w:color w:val="2C3E50"/>
                <w:sz w:val="19"/>
              </w:rPr>
              <w:t>category_code</w:t>
            </w:r>
          </w:p>
        </w:tc>
        <w:tc>
          <w:tcPr>
            <w:tcW w:type="dxa" w:w="2016"/>
            <w:shd w:fill="FFFFFF"/>
            <w:tcMar>
              <w:top w:w="90" w:type="dxa"/>
              <w:bottom w:w="90" w:type="dxa"/>
              <w:left w:w="140" w:type="dxa"/>
              <w:right w:w="140" w:type="dxa"/>
            </w:tcMar>
          </w:tcPr>
          <w:p>
            <w:pPr>
              <w:jc w:val="right"/>
            </w:pPr>
            <w:r>
              <w:rPr>
                <w:color w:val="2C3E50"/>
                <w:sz w:val="19"/>
              </w:rPr>
              <w:t>79.13</w:t>
            </w:r>
          </w:p>
        </w:tc>
        <w:tc>
          <w:tcPr>
            <w:tcW w:type="dxa" w:w="4320"/>
            <w:shd w:fill="FFFFFF"/>
            <w:tcMar>
              <w:top w:w="90" w:type="dxa"/>
              <w:bottom w:w="90" w:type="dxa"/>
              <w:left w:w="140" w:type="dxa"/>
              <w:right w:w="140" w:type="dxa"/>
            </w:tcMar>
          </w:tcPr>
          <w:p>
            <w:pPr>
              <w:jc w:val="left"/>
            </w:pPr>
            <w:r>
              <w:rPr>
                <w:color w:val="2C3E50"/>
                <w:sz w:val="19"/>
              </w:rPr>
              <w:t>Merchant Risk Signal: Fraud concentrates in grocery_pos and misc_net.</w:t>
            </w:r>
          </w:p>
        </w:tc>
      </w:tr>
      <w:tr>
        <w:tc>
          <w:tcPr>
            <w:tcW w:type="dxa" w:w="864"/>
            <w:shd w:fill="F9FBFC"/>
            <w:tcMar>
              <w:top w:w="90" w:type="dxa"/>
              <w:bottom w:w="90" w:type="dxa"/>
              <w:left w:w="140" w:type="dxa"/>
              <w:right w:w="140" w:type="dxa"/>
            </w:tcMar>
          </w:tcPr>
          <w:p>
            <w:pPr>
              <w:jc w:val="left"/>
            </w:pPr>
            <w:r>
              <w:rPr>
                <w:color w:val="2C3E50"/>
                <w:sz w:val="19"/>
              </w:rPr>
              <w:t>#4</w:t>
            </w:r>
          </w:p>
        </w:tc>
        <w:tc>
          <w:tcPr>
            <w:tcW w:type="dxa" w:w="2160"/>
            <w:shd w:fill="F9FBFC"/>
            <w:tcMar>
              <w:top w:w="90" w:type="dxa"/>
              <w:bottom w:w="90" w:type="dxa"/>
              <w:left w:w="140" w:type="dxa"/>
              <w:right w:w="140" w:type="dxa"/>
            </w:tcMar>
          </w:tcPr>
          <w:p>
            <w:pPr>
              <w:jc w:val="left"/>
            </w:pPr>
            <w:r>
              <w:rPr>
                <w:color w:val="2C3E50"/>
                <w:sz w:val="19"/>
              </w:rPr>
              <w:t>log_city_pop</w:t>
            </w:r>
          </w:p>
        </w:tc>
        <w:tc>
          <w:tcPr>
            <w:tcW w:type="dxa" w:w="2016"/>
            <w:shd w:fill="F9FBFC"/>
            <w:tcMar>
              <w:top w:w="90" w:type="dxa"/>
              <w:bottom w:w="90" w:type="dxa"/>
              <w:left w:w="140" w:type="dxa"/>
              <w:right w:w="140" w:type="dxa"/>
            </w:tcMar>
          </w:tcPr>
          <w:p>
            <w:pPr>
              <w:jc w:val="right"/>
            </w:pPr>
            <w:r>
              <w:rPr>
                <w:color w:val="2C3E50"/>
                <w:sz w:val="19"/>
              </w:rPr>
              <w:t>17.20</w:t>
            </w:r>
          </w:p>
        </w:tc>
        <w:tc>
          <w:tcPr>
            <w:tcW w:type="dxa" w:w="4320"/>
            <w:shd w:fill="F9FBFC"/>
            <w:tcMar>
              <w:top w:w="90" w:type="dxa"/>
              <w:bottom w:w="90" w:type="dxa"/>
              <w:left w:w="140" w:type="dxa"/>
              <w:right w:w="140" w:type="dxa"/>
            </w:tcMar>
          </w:tcPr>
          <w:p>
            <w:pPr>
              <w:jc w:val="left"/>
            </w:pPr>
            <w:r>
              <w:rPr>
                <w:color w:val="2C3E50"/>
                <w:sz w:val="19"/>
              </w:rPr>
              <w:t>Demographic density signal.</w:t>
            </w:r>
          </w:p>
        </w:tc>
      </w:tr>
      <w:tr>
        <w:tc>
          <w:tcPr>
            <w:tcW w:type="dxa" w:w="864"/>
            <w:shd w:fill="FFFFFF"/>
            <w:tcMar>
              <w:top w:w="90" w:type="dxa"/>
              <w:bottom w:w="90" w:type="dxa"/>
              <w:left w:w="140" w:type="dxa"/>
              <w:right w:w="140" w:type="dxa"/>
            </w:tcMar>
          </w:tcPr>
          <w:p>
            <w:pPr>
              <w:jc w:val="left"/>
            </w:pPr>
            <w:r>
              <w:rPr>
                <w:color w:val="2C3E50"/>
                <w:sz w:val="19"/>
              </w:rPr>
              <w:t>#5</w:t>
            </w:r>
          </w:p>
        </w:tc>
        <w:tc>
          <w:tcPr>
            <w:tcW w:type="dxa" w:w="2160"/>
            <w:shd w:fill="FFFFFF"/>
            <w:tcMar>
              <w:top w:w="90" w:type="dxa"/>
              <w:bottom w:w="90" w:type="dxa"/>
              <w:left w:w="140" w:type="dxa"/>
              <w:right w:w="140" w:type="dxa"/>
            </w:tcMar>
          </w:tcPr>
          <w:p>
            <w:pPr>
              <w:jc w:val="left"/>
            </w:pPr>
            <w:r>
              <w:rPr>
                <w:color w:val="2C3E50"/>
                <w:sz w:val="19"/>
              </w:rPr>
              <w:t>gender_encoded</w:t>
            </w:r>
          </w:p>
        </w:tc>
        <w:tc>
          <w:tcPr>
            <w:tcW w:type="dxa" w:w="2016"/>
            <w:shd w:fill="FFFFFF"/>
            <w:tcMar>
              <w:top w:w="90" w:type="dxa"/>
              <w:bottom w:w="90" w:type="dxa"/>
              <w:left w:w="140" w:type="dxa"/>
              <w:right w:w="140" w:type="dxa"/>
            </w:tcMar>
          </w:tcPr>
          <w:p>
            <w:pPr>
              <w:jc w:val="right"/>
            </w:pPr>
            <w:r>
              <w:rPr>
                <w:color w:val="2C3E50"/>
                <w:sz w:val="19"/>
              </w:rPr>
              <w:t>7.59</w:t>
            </w:r>
          </w:p>
        </w:tc>
        <w:tc>
          <w:tcPr>
            <w:tcW w:type="dxa" w:w="4320"/>
            <w:shd w:fill="FFFFFF"/>
            <w:tcMar>
              <w:top w:w="90" w:type="dxa"/>
              <w:bottom w:w="90" w:type="dxa"/>
              <w:left w:w="140" w:type="dxa"/>
              <w:right w:w="140" w:type="dxa"/>
            </w:tcMar>
          </w:tcPr>
          <w:p>
            <w:pPr>
              <w:jc w:val="left"/>
            </w:pPr>
            <w:r>
              <w:rPr>
                <w:color w:val="2C3E50"/>
                <w:sz w:val="19"/>
              </w:rPr>
              <w:t>Minor demographic correlation.</w:t>
            </w:r>
          </w:p>
        </w:tc>
      </w:tr>
      <w:tr>
        <w:tc>
          <w:tcPr>
            <w:tcW w:type="dxa" w:w="864"/>
            <w:shd w:fill="F9FBFC"/>
            <w:tcMar>
              <w:top w:w="90" w:type="dxa"/>
              <w:bottom w:w="90" w:type="dxa"/>
              <w:left w:w="140" w:type="dxa"/>
              <w:right w:w="140" w:type="dxa"/>
            </w:tcMar>
          </w:tcPr>
          <w:p>
            <w:pPr>
              <w:jc w:val="left"/>
            </w:pPr>
            <w:r>
              <w:rPr>
                <w:color w:val="2C3E50"/>
                <w:sz w:val="19"/>
              </w:rPr>
              <w:t>#6</w:t>
            </w:r>
          </w:p>
        </w:tc>
        <w:tc>
          <w:tcPr>
            <w:tcW w:type="dxa" w:w="2160"/>
            <w:shd w:fill="F9FBFC"/>
            <w:tcMar>
              <w:top w:w="90" w:type="dxa"/>
              <w:bottom w:w="90" w:type="dxa"/>
              <w:left w:w="140" w:type="dxa"/>
              <w:right w:w="140" w:type="dxa"/>
            </w:tcMar>
          </w:tcPr>
          <w:p>
            <w:pPr>
              <w:jc w:val="left"/>
            </w:pPr>
            <w:r>
              <w:rPr>
                <w:color w:val="2C3E50"/>
                <w:sz w:val="19"/>
              </w:rPr>
              <w:t>transaction_hour</w:t>
            </w:r>
          </w:p>
        </w:tc>
        <w:tc>
          <w:tcPr>
            <w:tcW w:type="dxa" w:w="2016"/>
            <w:shd w:fill="F9FBFC"/>
            <w:tcMar>
              <w:top w:w="90" w:type="dxa"/>
              <w:bottom w:w="90" w:type="dxa"/>
              <w:left w:w="140" w:type="dxa"/>
              <w:right w:w="140" w:type="dxa"/>
            </w:tcMar>
          </w:tcPr>
          <w:p>
            <w:pPr>
              <w:jc w:val="right"/>
            </w:pPr>
            <w:r>
              <w:rPr>
                <w:color w:val="2C3E50"/>
                <w:sz w:val="19"/>
              </w:rPr>
              <w:t>5.75</w:t>
            </w:r>
          </w:p>
        </w:tc>
        <w:tc>
          <w:tcPr>
            <w:tcW w:type="dxa" w:w="4320"/>
            <w:shd w:fill="F9FBFC"/>
            <w:tcMar>
              <w:top w:w="90" w:type="dxa"/>
              <w:bottom w:w="90" w:type="dxa"/>
              <w:left w:w="140" w:type="dxa"/>
              <w:right w:w="140" w:type="dxa"/>
            </w:tcMar>
          </w:tcPr>
          <w:p>
            <w:pPr>
              <w:jc w:val="left"/>
            </w:pPr>
            <w:r>
              <w:rPr>
                <w:color w:val="2C3E50"/>
                <w:sz w:val="19"/>
              </w:rPr>
              <w:t>Broader 24-hour diurnal cycle.</w:t>
            </w:r>
          </w:p>
        </w:tc>
      </w:tr>
      <w:tr>
        <w:tc>
          <w:tcPr>
            <w:tcW w:type="dxa" w:w="864"/>
            <w:shd w:fill="FFFFFF"/>
            <w:tcMar>
              <w:top w:w="90" w:type="dxa"/>
              <w:bottom w:w="90" w:type="dxa"/>
              <w:left w:w="140" w:type="dxa"/>
              <w:right w:w="140" w:type="dxa"/>
            </w:tcMar>
          </w:tcPr>
          <w:p>
            <w:pPr>
              <w:jc w:val="left"/>
            </w:pPr>
            <w:r>
              <w:rPr>
                <w:color w:val="2C3E50"/>
                <w:sz w:val="19"/>
              </w:rPr>
              <w:t>#7</w:t>
            </w:r>
          </w:p>
        </w:tc>
        <w:tc>
          <w:tcPr>
            <w:tcW w:type="dxa" w:w="2160"/>
            <w:shd w:fill="FFFFFF"/>
            <w:tcMar>
              <w:top w:w="90" w:type="dxa"/>
              <w:bottom w:w="90" w:type="dxa"/>
              <w:left w:w="140" w:type="dxa"/>
              <w:right w:w="140" w:type="dxa"/>
            </w:tcMar>
          </w:tcPr>
          <w:p>
            <w:pPr>
              <w:jc w:val="left"/>
            </w:pPr>
            <w:r>
              <w:rPr>
                <w:color w:val="2C3E50"/>
                <w:sz w:val="19"/>
              </w:rPr>
              <w:t>customer_age</w:t>
            </w:r>
          </w:p>
        </w:tc>
        <w:tc>
          <w:tcPr>
            <w:tcW w:type="dxa" w:w="2016"/>
            <w:shd w:fill="FFFFFF"/>
            <w:tcMar>
              <w:top w:w="90" w:type="dxa"/>
              <w:bottom w:w="90" w:type="dxa"/>
              <w:left w:w="140" w:type="dxa"/>
              <w:right w:w="140" w:type="dxa"/>
            </w:tcMar>
          </w:tcPr>
          <w:p>
            <w:pPr>
              <w:jc w:val="right"/>
            </w:pPr>
            <w:r>
              <w:rPr>
                <w:color w:val="2C3E50"/>
                <w:sz w:val="19"/>
              </w:rPr>
              <w:t>4.88</w:t>
            </w:r>
          </w:p>
        </w:tc>
        <w:tc>
          <w:tcPr>
            <w:tcW w:type="dxa" w:w="4320"/>
            <w:shd w:fill="FFFFFF"/>
            <w:tcMar>
              <w:top w:w="90" w:type="dxa"/>
              <w:bottom w:w="90" w:type="dxa"/>
              <w:left w:w="140" w:type="dxa"/>
              <w:right w:w="140" w:type="dxa"/>
            </w:tcMar>
          </w:tcPr>
          <w:p>
            <w:pPr>
              <w:jc w:val="left"/>
            </w:pPr>
            <w:r>
              <w:rPr>
                <w:color w:val="2C3E50"/>
                <w:sz w:val="19"/>
              </w:rPr>
              <w:t>Age demographic difference.</w:t>
            </w:r>
          </w:p>
        </w:tc>
      </w:tr>
      <w:tr>
        <w:tc>
          <w:tcPr>
            <w:tcW w:type="dxa" w:w="864"/>
            <w:shd w:fill="F9FBFC"/>
            <w:tcMar>
              <w:top w:w="90" w:type="dxa"/>
              <w:bottom w:w="90" w:type="dxa"/>
              <w:left w:w="140" w:type="dxa"/>
              <w:right w:w="140" w:type="dxa"/>
            </w:tcMar>
          </w:tcPr>
          <w:p>
            <w:pPr>
              <w:jc w:val="left"/>
            </w:pPr>
            <w:r>
              <w:rPr>
                <w:color w:val="2C3E50"/>
                <w:sz w:val="19"/>
              </w:rPr>
              <w:t>#8</w:t>
            </w:r>
          </w:p>
        </w:tc>
        <w:tc>
          <w:tcPr>
            <w:tcW w:type="dxa" w:w="2160"/>
            <w:shd w:fill="F9FBFC"/>
            <w:tcMar>
              <w:top w:w="90" w:type="dxa"/>
              <w:bottom w:w="90" w:type="dxa"/>
              <w:left w:w="140" w:type="dxa"/>
              <w:right w:w="140" w:type="dxa"/>
            </w:tcMar>
          </w:tcPr>
          <w:p>
            <w:pPr>
              <w:jc w:val="left"/>
            </w:pPr>
            <w:r>
              <w:rPr>
                <w:color w:val="2C3E50"/>
                <w:sz w:val="19"/>
              </w:rPr>
              <w:t>distance_km</w:t>
            </w:r>
          </w:p>
        </w:tc>
        <w:tc>
          <w:tcPr>
            <w:tcW w:type="dxa" w:w="2016"/>
            <w:shd w:fill="F9FBFC"/>
            <w:tcMar>
              <w:top w:w="90" w:type="dxa"/>
              <w:bottom w:w="90" w:type="dxa"/>
              <w:left w:w="140" w:type="dxa"/>
              <w:right w:w="140" w:type="dxa"/>
            </w:tcMar>
          </w:tcPr>
          <w:p>
            <w:pPr>
              <w:jc w:val="right"/>
            </w:pPr>
            <w:r>
              <w:rPr>
                <w:color w:val="2C3E50"/>
                <w:sz w:val="19"/>
              </w:rPr>
              <w:t>3.11</w:t>
            </w:r>
          </w:p>
        </w:tc>
        <w:tc>
          <w:tcPr>
            <w:tcW w:type="dxa" w:w="4320"/>
            <w:shd w:fill="F9FBFC"/>
            <w:tcMar>
              <w:top w:w="90" w:type="dxa"/>
              <w:bottom w:w="90" w:type="dxa"/>
              <w:left w:w="140" w:type="dxa"/>
              <w:right w:w="140" w:type="dxa"/>
            </w:tcMar>
          </w:tcPr>
          <w:p>
            <w:pPr>
              <w:jc w:val="left"/>
            </w:pPr>
            <w:r>
              <w:rPr>
                <w:color w:val="2C3E50"/>
                <w:sz w:val="19"/>
              </w:rPr>
              <w:t>Physical separation distance.</w:t>
            </w:r>
          </w:p>
        </w:tc>
      </w:tr>
      <w:tr>
        <w:tc>
          <w:tcPr>
            <w:tcW w:type="dxa" w:w="864"/>
            <w:shd w:fill="FFFFFF"/>
            <w:tcMar>
              <w:top w:w="90" w:type="dxa"/>
              <w:bottom w:w="90" w:type="dxa"/>
              <w:left w:w="140" w:type="dxa"/>
              <w:right w:w="140" w:type="dxa"/>
            </w:tcMar>
          </w:tcPr>
          <w:p>
            <w:pPr>
              <w:jc w:val="left"/>
            </w:pPr>
            <w:r>
              <w:rPr>
                <w:color w:val="2C3E50"/>
                <w:sz w:val="19"/>
              </w:rPr>
              <w:t>#9</w:t>
            </w:r>
          </w:p>
        </w:tc>
        <w:tc>
          <w:tcPr>
            <w:tcW w:type="dxa" w:w="2160"/>
            <w:shd w:fill="FFFFFF"/>
            <w:tcMar>
              <w:top w:w="90" w:type="dxa"/>
              <w:bottom w:w="90" w:type="dxa"/>
              <w:left w:w="140" w:type="dxa"/>
              <w:right w:w="140" w:type="dxa"/>
            </w:tcMar>
          </w:tcPr>
          <w:p>
            <w:pPr>
              <w:jc w:val="left"/>
            </w:pPr>
            <w:r>
              <w:rPr>
                <w:color w:val="2C3E50"/>
                <w:sz w:val="19"/>
              </w:rPr>
              <w:t>state_freq</w:t>
            </w:r>
          </w:p>
        </w:tc>
        <w:tc>
          <w:tcPr>
            <w:tcW w:type="dxa" w:w="2016"/>
            <w:shd w:fill="FFFFFF"/>
            <w:tcMar>
              <w:top w:w="90" w:type="dxa"/>
              <w:bottom w:w="90" w:type="dxa"/>
              <w:left w:w="140" w:type="dxa"/>
              <w:right w:w="140" w:type="dxa"/>
            </w:tcMar>
          </w:tcPr>
          <w:p>
            <w:pPr>
              <w:jc w:val="right"/>
            </w:pPr>
            <w:r>
              <w:rPr>
                <w:color w:val="2C3E50"/>
                <w:sz w:val="19"/>
              </w:rPr>
              <w:t>0.12</w:t>
            </w:r>
          </w:p>
        </w:tc>
        <w:tc>
          <w:tcPr>
            <w:tcW w:type="dxa" w:w="4320"/>
            <w:shd w:fill="FFFFFF"/>
            <w:tcMar>
              <w:top w:w="90" w:type="dxa"/>
              <w:bottom w:w="90" w:type="dxa"/>
              <w:left w:w="140" w:type="dxa"/>
              <w:right w:w="140" w:type="dxa"/>
            </w:tcMar>
          </w:tcPr>
          <w:p>
            <w:pPr>
              <w:jc w:val="left"/>
            </w:pPr>
            <w:r>
              <w:rPr>
                <w:color w:val="2C3E50"/>
                <w:sz w:val="19"/>
              </w:rPr>
              <w:t>Lowest predictive power; excluded from final modeling.</w:t>
            </w:r>
          </w:p>
        </w:tc>
      </w:tr>
    </w:tbl>
    <w:p>
      <w:pPr>
        <w:spacing w:after="120"/>
      </w:pPr>
    </w:p>
    <w:p>
      <w:r>
        <w:t>3. Multicollinearity Inspection: We computed the full Pearson correlation matrix across all features. No two features had correlation |r| &gt; 0.70, confirming that each selected feature contributes non-redundant predictive signal.</w:t>
      </w:r>
    </w:p>
    <w:p>
      <w:pPr>
        <w:pStyle w:val="Heading2"/>
      </w:pPr>
      <w:r>
        <w:rPr>
          <w:color w:val="2C3E50"/>
        </w:rPr>
        <w:t>Notebook 4: Principal Component Analysis &amp; Visualization (04_pca_and_variance_visualization.ipynb)</w:t>
      </w:r>
    </w:p>
    <w:p>
      <w:r>
        <w:t>What is PCA in simple terms? PCA rotates our 7-dimensional feature space onto orthogonal axes (Principal Components: PC1, PC2, ...) that maximize explained variance. PC1 captures the largest spread, PC2 captures the second largest, and so on.</w:t>
        <w:br/>
        <w:br/>
        <w:t>The Scree Plot Analysis: In data science, the gold standard benchmark is retaining components that cross 80% to 90% cumulative variance.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484"/>
        <w:gridCol w:w="2484"/>
        <w:gridCol w:w="2484"/>
        <w:gridCol w:w="2484"/>
      </w:tblGrid>
      <w:tr>
        <w:tc>
          <w:tcPr>
            <w:tcW w:type="dxa" w:w="1440"/>
            <w:shd w:fill="1B365D"/>
            <w:tcMar>
              <w:top w:w="120" w:type="dxa"/>
              <w:bottom w:w="120" w:type="dxa"/>
              <w:left w:w="140" w:type="dxa"/>
              <w:right w:w="140" w:type="dxa"/>
            </w:tcMar>
          </w:tcPr>
          <w:p>
            <w:pPr>
              <w:jc w:val="left"/>
            </w:pPr>
            <w:r>
              <w:rPr>
                <w:b/>
                <w:color w:val="FFFFFF"/>
                <w:sz w:val="19"/>
              </w:rPr>
              <w:t>Component</w:t>
            </w:r>
          </w:p>
        </w:tc>
        <w:tc>
          <w:tcPr>
            <w:tcW w:type="dxa" w:w="2160"/>
            <w:shd w:fill="1B365D"/>
            <w:tcMar>
              <w:top w:w="120" w:type="dxa"/>
              <w:bottom w:w="120" w:type="dxa"/>
              <w:left w:w="140" w:type="dxa"/>
              <w:right w:w="140" w:type="dxa"/>
            </w:tcMar>
          </w:tcPr>
          <w:p>
            <w:pPr>
              <w:jc w:val="right"/>
            </w:pPr>
            <w:r>
              <w:rPr>
                <w:b/>
                <w:color w:val="FFFFFF"/>
                <w:sz w:val="19"/>
              </w:rPr>
              <w:t>Individual Variance Explained (%)</w:t>
            </w:r>
          </w:p>
        </w:tc>
        <w:tc>
          <w:tcPr>
            <w:tcW w:type="dxa" w:w="2160"/>
            <w:shd w:fill="1B365D"/>
            <w:tcMar>
              <w:top w:w="120" w:type="dxa"/>
              <w:bottom w:w="120" w:type="dxa"/>
              <w:left w:w="140" w:type="dxa"/>
              <w:right w:w="140" w:type="dxa"/>
            </w:tcMar>
          </w:tcPr>
          <w:p>
            <w:pPr>
              <w:jc w:val="right"/>
            </w:pPr>
            <w:r>
              <w:rPr>
                <w:b/>
                <w:color w:val="FFFFFF"/>
                <w:sz w:val="19"/>
              </w:rPr>
              <w:t>Cumulative Variance Explained (%)</w:t>
            </w:r>
          </w:p>
        </w:tc>
        <w:tc>
          <w:tcPr>
            <w:tcW w:type="dxa" w:w="3600"/>
            <w:shd w:fill="1B365D"/>
            <w:tcMar>
              <w:top w:w="120" w:type="dxa"/>
              <w:bottom w:w="120" w:type="dxa"/>
              <w:left w:w="140" w:type="dxa"/>
              <w:right w:w="140" w:type="dxa"/>
            </w:tcMar>
          </w:tcPr>
          <w:p>
            <w:pPr>
              <w:jc w:val="left"/>
            </w:pPr>
            <w:r>
              <w:rPr>
                <w:b/>
                <w:color w:val="FFFFFF"/>
                <w:sz w:val="19"/>
              </w:rPr>
              <w:t>Faculty Benchmark &amp; Interpretation</w:t>
            </w:r>
          </w:p>
        </w:tc>
      </w:tr>
      <w:tr>
        <w:tc>
          <w:tcPr>
            <w:tcW w:type="dxa" w:w="1440"/>
            <w:shd w:fill="FFFFFF"/>
            <w:tcMar>
              <w:top w:w="90" w:type="dxa"/>
              <w:bottom w:w="90" w:type="dxa"/>
              <w:left w:w="140" w:type="dxa"/>
              <w:right w:w="140" w:type="dxa"/>
            </w:tcMar>
          </w:tcPr>
          <w:p>
            <w:pPr>
              <w:jc w:val="left"/>
            </w:pPr>
            <w:r>
              <w:rPr>
                <w:color w:val="2C3E50"/>
                <w:sz w:val="19"/>
              </w:rPr>
              <w:t>PC1</w:t>
            </w:r>
          </w:p>
        </w:tc>
        <w:tc>
          <w:tcPr>
            <w:tcW w:type="dxa" w:w="2160"/>
            <w:shd w:fill="FFFFFF"/>
            <w:tcMar>
              <w:top w:w="90" w:type="dxa"/>
              <w:bottom w:w="90" w:type="dxa"/>
              <w:left w:w="140" w:type="dxa"/>
              <w:right w:w="140" w:type="dxa"/>
            </w:tcMar>
          </w:tcPr>
          <w:p>
            <w:pPr>
              <w:jc w:val="right"/>
            </w:pPr>
            <w:r>
              <w:rPr>
                <w:color w:val="2C3E50"/>
                <w:sz w:val="19"/>
              </w:rPr>
              <w:t>18.51%</w:t>
            </w:r>
          </w:p>
        </w:tc>
        <w:tc>
          <w:tcPr>
            <w:tcW w:type="dxa" w:w="2160"/>
            <w:shd w:fill="FFFFFF"/>
            <w:tcMar>
              <w:top w:w="90" w:type="dxa"/>
              <w:bottom w:w="90" w:type="dxa"/>
              <w:left w:w="140" w:type="dxa"/>
              <w:right w:w="140" w:type="dxa"/>
            </w:tcMar>
          </w:tcPr>
          <w:p>
            <w:pPr>
              <w:jc w:val="right"/>
            </w:pPr>
            <w:r>
              <w:rPr>
                <w:color w:val="2C3E50"/>
                <w:sz w:val="19"/>
              </w:rPr>
              <w:t>18.51%</w:t>
            </w:r>
          </w:p>
        </w:tc>
        <w:tc>
          <w:tcPr>
            <w:tcW w:type="dxa" w:w="3600"/>
            <w:shd w:fill="FFFFFF"/>
            <w:tcMar>
              <w:top w:w="90" w:type="dxa"/>
              <w:bottom w:w="90" w:type="dxa"/>
              <w:left w:w="140" w:type="dxa"/>
              <w:right w:w="140" w:type="dxa"/>
            </w:tcMar>
          </w:tcPr>
          <w:p>
            <w:pPr>
              <w:jc w:val="left"/>
            </w:pPr>
            <w:r>
              <w:rPr>
                <w:color w:val="2C3E50"/>
                <w:sz w:val="19"/>
              </w:rPr>
              <w:t>Primary axis: Heavily loaded on log_amt and is_night.</w:t>
            </w:r>
          </w:p>
        </w:tc>
      </w:tr>
      <w:tr>
        <w:tc>
          <w:tcPr>
            <w:tcW w:type="dxa" w:w="1440"/>
            <w:shd w:fill="F9FBFC"/>
            <w:tcMar>
              <w:top w:w="90" w:type="dxa"/>
              <w:bottom w:w="90" w:type="dxa"/>
              <w:left w:w="140" w:type="dxa"/>
              <w:right w:w="140" w:type="dxa"/>
            </w:tcMar>
          </w:tcPr>
          <w:p>
            <w:pPr>
              <w:jc w:val="left"/>
            </w:pPr>
            <w:r>
              <w:rPr>
                <w:color w:val="2C3E50"/>
                <w:sz w:val="19"/>
              </w:rPr>
              <w:t>PC2</w:t>
            </w:r>
          </w:p>
        </w:tc>
        <w:tc>
          <w:tcPr>
            <w:tcW w:type="dxa" w:w="2160"/>
            <w:shd w:fill="F9FBFC"/>
            <w:tcMar>
              <w:top w:w="90" w:type="dxa"/>
              <w:bottom w:w="90" w:type="dxa"/>
              <w:left w:w="140" w:type="dxa"/>
              <w:right w:w="140" w:type="dxa"/>
            </w:tcMar>
          </w:tcPr>
          <w:p>
            <w:pPr>
              <w:jc w:val="right"/>
            </w:pPr>
            <w:r>
              <w:rPr>
                <w:color w:val="2C3E50"/>
                <w:sz w:val="19"/>
              </w:rPr>
              <w:t>14.66%</w:t>
            </w:r>
          </w:p>
        </w:tc>
        <w:tc>
          <w:tcPr>
            <w:tcW w:type="dxa" w:w="2160"/>
            <w:shd w:fill="F9FBFC"/>
            <w:tcMar>
              <w:top w:w="90" w:type="dxa"/>
              <w:bottom w:w="90" w:type="dxa"/>
              <w:left w:w="140" w:type="dxa"/>
              <w:right w:w="140" w:type="dxa"/>
            </w:tcMar>
          </w:tcPr>
          <w:p>
            <w:pPr>
              <w:jc w:val="right"/>
            </w:pPr>
            <w:r>
              <w:rPr>
                <w:color w:val="2C3E50"/>
                <w:sz w:val="19"/>
              </w:rPr>
              <w:t>33.17%</w:t>
            </w:r>
          </w:p>
        </w:tc>
        <w:tc>
          <w:tcPr>
            <w:tcW w:type="dxa" w:w="3600"/>
            <w:shd w:fill="F9FBFC"/>
            <w:tcMar>
              <w:top w:w="90" w:type="dxa"/>
              <w:bottom w:w="90" w:type="dxa"/>
              <w:left w:w="140" w:type="dxa"/>
              <w:right w:w="140" w:type="dxa"/>
            </w:tcMar>
          </w:tcPr>
          <w:p>
            <w:pPr>
              <w:jc w:val="left"/>
            </w:pPr>
            <w:r>
              <w:rPr>
                <w:color w:val="2C3E50"/>
                <w:sz w:val="19"/>
              </w:rPr>
              <w:t>Secondary axis: Loaded on customer_age and log_city_pop.</w:t>
            </w:r>
          </w:p>
        </w:tc>
      </w:tr>
      <w:tr>
        <w:tc>
          <w:tcPr>
            <w:tcW w:type="dxa" w:w="1440"/>
            <w:shd w:fill="FFFFFF"/>
            <w:tcMar>
              <w:top w:w="90" w:type="dxa"/>
              <w:bottom w:w="90" w:type="dxa"/>
              <w:left w:w="140" w:type="dxa"/>
              <w:right w:w="140" w:type="dxa"/>
            </w:tcMar>
          </w:tcPr>
          <w:p>
            <w:pPr>
              <w:jc w:val="left"/>
            </w:pPr>
            <w:r>
              <w:rPr>
                <w:color w:val="2C3E50"/>
                <w:sz w:val="19"/>
              </w:rPr>
              <w:t>PC3</w:t>
            </w:r>
          </w:p>
        </w:tc>
        <w:tc>
          <w:tcPr>
            <w:tcW w:type="dxa" w:w="2160"/>
            <w:shd w:fill="FFFFFF"/>
            <w:tcMar>
              <w:top w:w="90" w:type="dxa"/>
              <w:bottom w:w="90" w:type="dxa"/>
              <w:left w:w="140" w:type="dxa"/>
              <w:right w:w="140" w:type="dxa"/>
            </w:tcMar>
          </w:tcPr>
          <w:p>
            <w:pPr>
              <w:jc w:val="right"/>
            </w:pPr>
            <w:r>
              <w:rPr>
                <w:color w:val="2C3E50"/>
                <w:sz w:val="19"/>
              </w:rPr>
              <w:t>14.53%</w:t>
            </w:r>
          </w:p>
        </w:tc>
        <w:tc>
          <w:tcPr>
            <w:tcW w:type="dxa" w:w="2160"/>
            <w:shd w:fill="FFFFFF"/>
            <w:tcMar>
              <w:top w:w="90" w:type="dxa"/>
              <w:bottom w:w="90" w:type="dxa"/>
              <w:left w:w="140" w:type="dxa"/>
              <w:right w:w="140" w:type="dxa"/>
            </w:tcMar>
          </w:tcPr>
          <w:p>
            <w:pPr>
              <w:jc w:val="right"/>
            </w:pPr>
            <w:r>
              <w:rPr>
                <w:color w:val="2C3E50"/>
                <w:sz w:val="19"/>
              </w:rPr>
              <w:t>47.70%</w:t>
            </w:r>
          </w:p>
        </w:tc>
        <w:tc>
          <w:tcPr>
            <w:tcW w:type="dxa" w:w="3600"/>
            <w:shd w:fill="FFFFFF"/>
            <w:tcMar>
              <w:top w:w="90" w:type="dxa"/>
              <w:bottom w:w="90" w:type="dxa"/>
              <w:left w:w="140" w:type="dxa"/>
              <w:right w:w="140" w:type="dxa"/>
            </w:tcMar>
          </w:tcPr>
          <w:p>
            <w:pPr>
              <w:jc w:val="left"/>
            </w:pPr>
            <w:r>
              <w:rPr>
                <w:color w:val="2C3E50"/>
                <w:sz w:val="19"/>
              </w:rPr>
              <w:t>Loaded on category_code and distance_km.</w:t>
            </w:r>
          </w:p>
        </w:tc>
      </w:tr>
      <w:tr>
        <w:tc>
          <w:tcPr>
            <w:tcW w:type="dxa" w:w="1440"/>
            <w:shd w:fill="F9FBFC"/>
            <w:tcMar>
              <w:top w:w="90" w:type="dxa"/>
              <w:bottom w:w="90" w:type="dxa"/>
              <w:left w:w="140" w:type="dxa"/>
              <w:right w:w="140" w:type="dxa"/>
            </w:tcMar>
          </w:tcPr>
          <w:p>
            <w:pPr>
              <w:jc w:val="left"/>
            </w:pPr>
            <w:r>
              <w:rPr>
                <w:color w:val="2C3E50"/>
                <w:sz w:val="19"/>
              </w:rPr>
              <w:t>PC4</w:t>
            </w:r>
          </w:p>
        </w:tc>
        <w:tc>
          <w:tcPr>
            <w:tcW w:type="dxa" w:w="2160"/>
            <w:shd w:fill="F9FBFC"/>
            <w:tcMar>
              <w:top w:w="90" w:type="dxa"/>
              <w:bottom w:w="90" w:type="dxa"/>
              <w:left w:w="140" w:type="dxa"/>
              <w:right w:w="140" w:type="dxa"/>
            </w:tcMar>
          </w:tcPr>
          <w:p>
            <w:pPr>
              <w:jc w:val="right"/>
            </w:pPr>
            <w:r>
              <w:rPr>
                <w:color w:val="2C3E50"/>
                <w:sz w:val="19"/>
              </w:rPr>
              <w:t>14.39%</w:t>
            </w:r>
          </w:p>
        </w:tc>
        <w:tc>
          <w:tcPr>
            <w:tcW w:type="dxa" w:w="2160"/>
            <w:shd w:fill="F9FBFC"/>
            <w:tcMar>
              <w:top w:w="90" w:type="dxa"/>
              <w:bottom w:w="90" w:type="dxa"/>
              <w:left w:w="140" w:type="dxa"/>
              <w:right w:w="140" w:type="dxa"/>
            </w:tcMar>
          </w:tcPr>
          <w:p>
            <w:pPr>
              <w:jc w:val="right"/>
            </w:pPr>
            <w:r>
              <w:rPr>
                <w:color w:val="2C3E50"/>
                <w:sz w:val="19"/>
              </w:rPr>
              <w:t>62.09%</w:t>
            </w:r>
          </w:p>
        </w:tc>
        <w:tc>
          <w:tcPr>
            <w:tcW w:type="dxa" w:w="3600"/>
            <w:shd w:fill="F9FBFC"/>
            <w:tcMar>
              <w:top w:w="90" w:type="dxa"/>
              <w:bottom w:w="90" w:type="dxa"/>
              <w:left w:w="140" w:type="dxa"/>
              <w:right w:w="140" w:type="dxa"/>
            </w:tcMar>
          </w:tcPr>
          <w:p>
            <w:pPr>
              <w:jc w:val="left"/>
            </w:pPr>
            <w:r>
              <w:rPr>
                <w:color w:val="2C3E50"/>
                <w:sz w:val="19"/>
              </w:rPr>
              <w:t>Temporal diurnal components.</w:t>
            </w:r>
          </w:p>
        </w:tc>
      </w:tr>
      <w:tr>
        <w:tc>
          <w:tcPr>
            <w:tcW w:type="dxa" w:w="1440"/>
            <w:shd w:fill="FFFFFF"/>
            <w:tcMar>
              <w:top w:w="90" w:type="dxa"/>
              <w:bottom w:w="90" w:type="dxa"/>
              <w:left w:w="140" w:type="dxa"/>
              <w:right w:w="140" w:type="dxa"/>
            </w:tcMar>
          </w:tcPr>
          <w:p>
            <w:pPr>
              <w:jc w:val="left"/>
            </w:pPr>
            <w:r>
              <w:rPr>
                <w:color w:val="2C3E50"/>
                <w:sz w:val="19"/>
              </w:rPr>
              <w:t>PC5</w:t>
            </w:r>
          </w:p>
        </w:tc>
        <w:tc>
          <w:tcPr>
            <w:tcW w:type="dxa" w:w="2160"/>
            <w:shd w:fill="FFFFFF"/>
            <w:tcMar>
              <w:top w:w="90" w:type="dxa"/>
              <w:bottom w:w="90" w:type="dxa"/>
              <w:left w:w="140" w:type="dxa"/>
              <w:right w:w="140" w:type="dxa"/>
            </w:tcMar>
          </w:tcPr>
          <w:p>
            <w:pPr>
              <w:jc w:val="right"/>
            </w:pPr>
            <w:r>
              <w:rPr>
                <w:color w:val="2C3E50"/>
                <w:sz w:val="19"/>
              </w:rPr>
              <w:t>14.15%</w:t>
            </w:r>
          </w:p>
        </w:tc>
        <w:tc>
          <w:tcPr>
            <w:tcW w:type="dxa" w:w="2160"/>
            <w:shd w:fill="FFFFFF"/>
            <w:tcMar>
              <w:top w:w="90" w:type="dxa"/>
              <w:bottom w:w="90" w:type="dxa"/>
              <w:left w:w="140" w:type="dxa"/>
              <w:right w:w="140" w:type="dxa"/>
            </w:tcMar>
          </w:tcPr>
          <w:p>
            <w:pPr>
              <w:jc w:val="right"/>
            </w:pPr>
            <w:r>
              <w:rPr>
                <w:color w:val="2C3E50"/>
                <w:sz w:val="19"/>
              </w:rPr>
              <w:t>76.24%</w:t>
            </w:r>
          </w:p>
        </w:tc>
        <w:tc>
          <w:tcPr>
            <w:tcW w:type="dxa" w:w="3600"/>
            <w:shd w:fill="FFFFFF"/>
            <w:tcMar>
              <w:top w:w="90" w:type="dxa"/>
              <w:bottom w:w="90" w:type="dxa"/>
              <w:left w:w="140" w:type="dxa"/>
              <w:right w:w="140" w:type="dxa"/>
            </w:tcMar>
          </w:tcPr>
          <w:p>
            <w:pPr>
              <w:jc w:val="left"/>
            </w:pPr>
            <w:r>
              <w:rPr>
                <w:color w:val="2C3E50"/>
                <w:sz w:val="19"/>
              </w:rPr>
              <w:t>Approaching standard threshold.</w:t>
            </w:r>
          </w:p>
        </w:tc>
      </w:tr>
      <w:tr>
        <w:tc>
          <w:tcPr>
            <w:tcW w:type="dxa" w:w="1440"/>
            <w:shd w:fill="F9FBFC"/>
            <w:tcMar>
              <w:top w:w="90" w:type="dxa"/>
              <w:bottom w:w="90" w:type="dxa"/>
              <w:left w:w="140" w:type="dxa"/>
              <w:right w:w="140" w:type="dxa"/>
            </w:tcMar>
          </w:tcPr>
          <w:p>
            <w:pPr>
              <w:jc w:val="left"/>
            </w:pPr>
            <w:r>
              <w:rPr>
                <w:color w:val="2C3E50"/>
                <w:sz w:val="19"/>
              </w:rPr>
              <w:t>PC6</w:t>
            </w:r>
          </w:p>
        </w:tc>
        <w:tc>
          <w:tcPr>
            <w:tcW w:type="dxa" w:w="2160"/>
            <w:shd w:fill="F9FBFC"/>
            <w:tcMar>
              <w:top w:w="90" w:type="dxa"/>
              <w:bottom w:w="90" w:type="dxa"/>
              <w:left w:w="140" w:type="dxa"/>
              <w:right w:w="140" w:type="dxa"/>
            </w:tcMar>
          </w:tcPr>
          <w:p>
            <w:pPr>
              <w:jc w:val="right"/>
            </w:pPr>
            <w:r>
              <w:rPr>
                <w:color w:val="2C3E50"/>
                <w:sz w:val="19"/>
              </w:rPr>
              <w:t>13.25%</w:t>
            </w:r>
          </w:p>
        </w:tc>
        <w:tc>
          <w:tcPr>
            <w:tcW w:type="dxa" w:w="2160"/>
            <w:shd w:fill="F9FBFC"/>
            <w:tcMar>
              <w:top w:w="90" w:type="dxa"/>
              <w:bottom w:w="90" w:type="dxa"/>
              <w:left w:w="140" w:type="dxa"/>
              <w:right w:w="140" w:type="dxa"/>
            </w:tcMar>
          </w:tcPr>
          <w:p>
            <w:pPr>
              <w:jc w:val="right"/>
            </w:pPr>
            <w:r>
              <w:rPr>
                <w:color w:val="2C3E50"/>
                <w:sz w:val="19"/>
              </w:rPr>
              <w:t>89.49%</w:t>
            </w:r>
          </w:p>
        </w:tc>
        <w:tc>
          <w:tcPr>
            <w:tcW w:type="dxa" w:w="3600"/>
            <w:shd w:fill="F9FBFC"/>
            <w:tcMar>
              <w:top w:w="90" w:type="dxa"/>
              <w:bottom w:w="90" w:type="dxa"/>
              <w:left w:w="140" w:type="dxa"/>
              <w:right w:w="140" w:type="dxa"/>
            </w:tcMar>
          </w:tcPr>
          <w:p>
            <w:pPr>
              <w:jc w:val="left"/>
            </w:pPr>
            <w:r>
              <w:rPr>
                <w:color w:val="2C3E50"/>
                <w:sz w:val="19"/>
              </w:rPr>
              <w:t>★ RETAIN: Crosses the standard 80% information retention threshold!</w:t>
            </w:r>
          </w:p>
        </w:tc>
      </w:tr>
      <w:tr>
        <w:tc>
          <w:tcPr>
            <w:tcW w:type="dxa" w:w="1440"/>
            <w:shd w:fill="FFFFFF"/>
            <w:tcMar>
              <w:top w:w="90" w:type="dxa"/>
              <w:bottom w:w="90" w:type="dxa"/>
              <w:left w:w="140" w:type="dxa"/>
              <w:right w:w="140" w:type="dxa"/>
            </w:tcMar>
          </w:tcPr>
          <w:p>
            <w:pPr>
              <w:jc w:val="left"/>
            </w:pPr>
            <w:r>
              <w:rPr>
                <w:color w:val="2C3E50"/>
                <w:sz w:val="19"/>
              </w:rPr>
              <w:t>PC7</w:t>
            </w:r>
          </w:p>
        </w:tc>
        <w:tc>
          <w:tcPr>
            <w:tcW w:type="dxa" w:w="2160"/>
            <w:shd w:fill="FFFFFF"/>
            <w:tcMar>
              <w:top w:w="90" w:type="dxa"/>
              <w:bottom w:w="90" w:type="dxa"/>
              <w:left w:w="140" w:type="dxa"/>
              <w:right w:w="140" w:type="dxa"/>
            </w:tcMar>
          </w:tcPr>
          <w:p>
            <w:pPr>
              <w:jc w:val="right"/>
            </w:pPr>
            <w:r>
              <w:rPr>
                <w:color w:val="2C3E50"/>
                <w:sz w:val="19"/>
              </w:rPr>
              <w:t>10.51%</w:t>
            </w:r>
          </w:p>
        </w:tc>
        <w:tc>
          <w:tcPr>
            <w:tcW w:type="dxa" w:w="2160"/>
            <w:shd w:fill="FFFFFF"/>
            <w:tcMar>
              <w:top w:w="90" w:type="dxa"/>
              <w:bottom w:w="90" w:type="dxa"/>
              <w:left w:w="140" w:type="dxa"/>
              <w:right w:w="140" w:type="dxa"/>
            </w:tcMar>
          </w:tcPr>
          <w:p>
            <w:pPr>
              <w:jc w:val="right"/>
            </w:pPr>
            <w:r>
              <w:rPr>
                <w:color w:val="2C3E50"/>
                <w:sz w:val="19"/>
              </w:rPr>
              <w:t>100.00%</w:t>
            </w:r>
          </w:p>
        </w:tc>
        <w:tc>
          <w:tcPr>
            <w:tcW w:type="dxa" w:w="3600"/>
            <w:shd w:fill="FFFFFF"/>
            <w:tcMar>
              <w:top w:w="90" w:type="dxa"/>
              <w:bottom w:w="90" w:type="dxa"/>
              <w:left w:w="140" w:type="dxa"/>
              <w:right w:w="140" w:type="dxa"/>
            </w:tcMar>
          </w:tcPr>
          <w:p>
            <w:pPr>
              <w:jc w:val="left"/>
            </w:pPr>
            <w:r>
              <w:rPr>
                <w:color w:val="2C3E50"/>
                <w:sz w:val="19"/>
              </w:rPr>
              <w:t>Full variance retained.</w:t>
            </w:r>
          </w:p>
        </w:tc>
      </w:tr>
    </w:tbl>
    <w:p>
      <w:pPr>
        <w:spacing w:after="120"/>
      </w:pPr>
    </w:p>
    <w:p>
      <w:r>
        <w:drawing>
          <wp:inline xmlns:a="http://schemas.openxmlformats.org/drawingml/2006/main" xmlns:pic="http://schemas.openxmlformats.org/drawingml/2006/picture">
            <wp:extent cx="5669280" cy="2362200"/>
            <wp:docPr id="4" name="Picture 4"/>
            <wp:cNvGraphicFramePr>
              <a:graphicFrameLocks noChangeAspect="1"/>
            </wp:cNvGraphicFramePr>
            <a:graphic>
              <a:graphicData uri="http://schemas.openxmlformats.org/drawingml/2006/picture">
                <pic:pic>
                  <pic:nvPicPr>
                    <pic:cNvPr id="0" name="week7_pca_and_feature_selection.png"/>
                    <pic:cNvPicPr/>
                  </pic:nvPicPr>
                  <pic:blipFill>
                    <a:blip r:embed="rId12"/>
                    <a:stretch>
                      <a:fillRect/>
                    </a:stretch>
                  </pic:blipFill>
                  <pic:spPr>
                    <a:xfrm>
                      <a:off x="0" y="0"/>
                      <a:ext cx="5669280" cy="2362200"/>
                    </a:xfrm>
                    <a:prstGeom prst="rect"/>
                  </pic:spPr>
                </pic:pic>
              </a:graphicData>
            </a:graphic>
          </wp:inline>
        </w:drawing>
      </w:r>
    </w:p>
    <w:p>
      <w:pPr>
        <w:spacing w:after="160"/>
        <w:jc w:val="center"/>
      </w:pPr>
      <w:r>
        <w:rPr>
          <w:i/>
          <w:sz w:val="17"/>
        </w:rPr>
        <w:t>Figure 4: Week 7 Analysis — Feature Importance (ANOVA F-Statistic) &amp; PCA Scree Plot (89.5% Variance in 6 Components)</w:t>
      </w:r>
    </w:p>
    <w:p>
      <w:r>
        <w:t>2D Cluster Separation (PC1 vs. PC2): When transactions are plotted on the 2D plane defined by PC1 and PC2, normal transactions form a dense circular core around the origin (0, 0), while fraudulent transactions diverge outward along the positive PC1 axis, confirming that PCA captures genuine fraud separation signals.</w:t>
      </w:r>
    </w:p>
    <w:p>
      <w:r>
        <w:br w:type="page"/>
      </w:r>
    </w:p>
    <w:p>
      <w:pPr>
        <w:pStyle w:val="Heading1"/>
        <w:spacing w:before="200" w:after="120"/>
      </w:pPr>
      <w:r>
        <w:rPr>
          <w:color w:val="1B365D"/>
        </w:rPr>
        <w:t>PART 4: Faculty Viva Cheat Sheet ("Why Did You Choose X?")</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8080"/>
              <w:top w:val="none"/>
              <w:right w:val="none"/>
              <w:bottom w:val="none"/>
            </w:tcBorders>
          </w:tcPr>
          <w:p>
            <w:pPr>
              <w:spacing w:before="0" w:after="0" w:line="276" w:lineRule="auto"/>
            </w:pPr>
            <w:r>
              <w:rPr>
                <w:b/>
                <w:color w:val="1B365D"/>
                <w:sz w:val="20"/>
              </w:rPr>
              <w:t xml:space="preserve">Q1: Why did you use Log Transformation instead of simply deleting outliers? </w:t>
            </w:r>
            <w:r>
              <w:rPr>
                <w:i/>
                <w:color w:val="2C3E50"/>
                <w:sz w:val="20"/>
              </w:rPr>
              <w:t>In standard data science, extreme outliers are usually data entry errors and can be deleted. But in fraud detection, 73.3% of all fraud transactions are located inside the high-dollar IQR outliers! If we had deleted those outliers, we would have deleted 3 out of every 4 fraud cases. Instead, we used ln(1 + amt), which smoothly compressed the range and dropped skewness from +26.58 to -0.28 while keeping 100% of our fraud labels intact.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8080"/>
              <w:top w:val="none"/>
              <w:right w:val="none"/>
              <w:bottom w:val="none"/>
            </w:tcBorders>
          </w:tcPr>
          <w:p>
            <w:pPr>
              <w:spacing w:before="0" w:after="0" w:line="276" w:lineRule="auto"/>
            </w:pPr>
            <w:r>
              <w:rPr>
                <w:b/>
                <w:color w:val="1B365D"/>
                <w:sz w:val="20"/>
              </w:rPr>
              <w:t xml:space="preserve">Q2: Why did you choose Frequency Encoding for Job and State instead of One-Hot Encoding? </w:t>
            </w:r>
            <w:r>
              <w:rPr>
                <w:i/>
                <w:color w:val="2C3E50"/>
                <w:sz w:val="20"/>
              </w:rPr>
              <w:t>The job column contains 478 unique titles and state contains 50 states. One-Hot Encoding would have added over 500 sparse binary columns to our dataset. This triggers the Curse of Dimensionality, which causes exponential memory consumption and inefficient decision tree splits. Frequency Encoding replaces each category with its empirical percentage share, reducing 478 columns down to a single compact continuous feature.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8080"/>
              <w:top w:val="none"/>
              <w:right w:val="none"/>
              <w:bottom w:val="none"/>
            </w:tcBorders>
          </w:tcPr>
          <w:p>
            <w:pPr>
              <w:spacing w:before="0" w:after="0" w:line="276" w:lineRule="auto"/>
            </w:pPr>
            <w:r>
              <w:rPr>
                <w:b/>
                <w:color w:val="1B365D"/>
                <w:sz w:val="20"/>
              </w:rPr>
              <w:t xml:space="preserve">Q3: Why did you apply StandardScaler before Principal Component Analysis (PCA)? </w:t>
            </w:r>
            <w:r>
              <w:rPr>
                <w:i/>
                <w:color w:val="2C3E50"/>
                <w:sz w:val="20"/>
              </w:rPr>
              <w:t>PCA calculates eigenvectors and eigenvalues based on the covariance/correlation matrix. If variables are on different scales (for example, dollar amounts in thousands vs. hours from 0 to 23), PCA will be mathematically dominated by whichever variable has the largest numerical scale. StandardScaler normalizes every feature to mean 0 and unit variance 1.0, ensuring every dimension contributes fairly.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8080"/>
              <w:top w:val="none"/>
              <w:right w:val="none"/>
              <w:bottom w:val="none"/>
            </w:tcBorders>
          </w:tcPr>
          <w:p>
            <w:pPr>
              <w:spacing w:before="0" w:after="0" w:line="276" w:lineRule="auto"/>
            </w:pPr>
            <w:r>
              <w:rPr>
                <w:b/>
                <w:color w:val="1B365D"/>
                <w:sz w:val="20"/>
              </w:rPr>
              <w:t xml:space="preserve">Q4: Why did you use the ANOVA F-test for feature selection? </w:t>
            </w:r>
            <w:r>
              <w:rPr>
                <w:i/>
                <w:color w:val="2C3E50"/>
                <w:sz w:val="20"/>
              </w:rPr>
              <w:t>ANOVA F-statistic (f_classif) measures the ratio of between-group variance to within-group variance between legitimate and fraudulent transactions. It gave us an objective mathematical ranking proving that log_amt (F=3,163.3) and is_night (F=2,777.1) are our highest-signal features.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left w:val="single" w:sz="36" w:space="0" w:color="008080"/>
              <w:top w:val="none"/>
              <w:right w:val="none"/>
              <w:bottom w:val="none"/>
            </w:tcBorders>
          </w:tcPr>
          <w:p>
            <w:pPr>
              <w:spacing w:before="0" w:after="0" w:line="276" w:lineRule="auto"/>
            </w:pPr>
            <w:r>
              <w:rPr>
                <w:b/>
                <w:color w:val="1B365D"/>
                <w:sz w:val="20"/>
              </w:rPr>
              <w:t xml:space="preserve">Q5: Why is PR-AUC required rather than Accuracy for evaluating our fraud models? </w:t>
            </w:r>
            <w:r>
              <w:rPr>
                <w:i/>
                <w:color w:val="2C3E50"/>
                <w:sz w:val="20"/>
              </w:rPr>
              <w:t>Because of severe class imbalance (99.42% normal vs. 0.58% fraud). A trivial dummy classifier predicting 'never fraud' achieves 99.42% accuracy while catching zero fraud cases! ROC-AUC can also be misleadingly optimistic because its denominator includes the massive non-fraud majority. PR-AUC (Precision-Recall Area Under Curve) evaluates exclusively on the positive minority class, making it the industry gold standard for fraud detection.</w:t>
            </w:r>
          </w:p>
        </w:tc>
      </w:tr>
    </w:tbl>
    <w:p>
      <w:pPr>
        <w:spacing w:after="80"/>
      </w:pPr>
    </w:p>
    <w:p>
      <w:pPr>
        <w:pStyle w:val="Heading1"/>
        <w:spacing w:before="240" w:after="120"/>
      </w:pPr>
      <w:r>
        <w:rPr>
          <w:color w:val="1B365D"/>
        </w:rPr>
        <w:t>PART 5: 1-Minute Spoken Presentation Script</w:t>
      </w:r>
    </w:p>
    <w:tbl>
      <w:tblPr>
        <w:tblW w:type="auto" w:w="0"/>
        <w:jc w:val="center"/>
        <w:tblLayout w:type="fixed"/>
        <w:tblLook w:firstColumn="1" w:firstRow="1" w:lastColumn="0" w:lastRow="0" w:noHBand="0" w:noVBand="1" w:val="04A0"/>
      </w:tblPr>
      <w:tblGrid>
        <w:gridCol w:w="9936"/>
      </w:tblGrid>
      <w:tr>
        <w:tc>
          <w:tcPr>
            <w:tcW w:type="dxa" w:w="9360"/>
            <w:shd w:fill="EDF2F7"/>
            <w:tcMar>
              <w:top w:w="140" w:type="dxa"/>
              <w:bottom w:w="140" w:type="dxa"/>
              <w:left w:w="200" w:type="dxa"/>
              <w:right w:w="200" w:type="dxa"/>
            </w:tcMar>
            <w:tcBorders>
              <w:left w:val="single" w:sz="36" w:space="0" w:color="1B365D"/>
              <w:top w:val="none"/>
              <w:right w:val="none"/>
              <w:bottom w:val="none"/>
            </w:tcBorders>
          </w:tcPr>
          <w:p>
            <w:pPr>
              <w:spacing w:before="0" w:after="0" w:line="276" w:lineRule="auto"/>
            </w:pPr>
            <w:r>
              <w:rPr>
                <w:b/>
                <w:color w:val="1B365D"/>
                <w:sz w:val="20"/>
              </w:rPr>
              <w:t xml:space="preserve">🎙️ Spoken Script (Word-for-Word for Suhani &amp; Team): </w:t>
            </w:r>
            <w:r>
              <w:rPr>
                <w:i/>
                <w:color w:val="2C3E50"/>
                <w:sz w:val="20"/>
              </w:rPr>
              <w:t>"Good morning professors and evaluators. We are Team 1, and our project is Real-Time Credit Card Fraud Detection on 1.29 million transactions.</w:t>
              <w:br/>
              <w:br/>
              <w:t>In Weeks 1 through 4, we completed data hunting and verified zero missing values. Our most critical statistical discovery was that 73.3% of all fraud cases are high-dollar IQR outliers, proving that deleting outliers would delete the crime itself! We also discovered that fraud attack probability surges 43 times higher between 10 PM and 3 AM.</w:t>
              <w:br/>
              <w:br/>
              <w:t>In Week 6, we executed Feature Engineering:</w:t>
              <w:br/>
              <w:t>• To avoid the curse of dimensionality from 478 job titles, we used Frequency Encoding instead of One-Hot Encoding.</w:t>
              <w:br/>
              <w:t>• To handle extreme dollar amounts without deleting fraud, we applied a Log1p transformation, which brought skewness down from +26.58 to -0.28 — turning a severely skewed curve into a symmetrical bell curve.</w:t>
              <w:br/>
              <w:t>• We normalized all continuous attributes to mean 0 and unit variance using StandardScaler.</w:t>
              <w:br/>
              <w:br/>
              <w:t>In Week 7, we performed Dimensionality Reduction:</w:t>
              <w:br/>
              <w:t>• Using the ANOVA F-statistic, we confirmed that log-transformed amount (F=3,163) and our night indicator (F=2,777) are our strongest predictors.</w:t>
              <w:br/>
              <w:t>• Our PCA Scree plot proved that 6 principal components retain 89.49% of all dataset variance, comfortably crossing the standard 80% threshold.</w:t>
              <w:br/>
              <w:br/>
              <w:t>All four executed notebooks, generated datasets, and reports are published and synced on our GitHub repository. Thank you!"</w:t>
            </w:r>
          </w:p>
        </w:tc>
      </w:tr>
    </w:tbl>
    <w:p>
      <w:pPr>
        <w:spacing w:after="8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