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8A6938"/>
          <w:sz w:val="17"/>
        </w:rPr>
        <w:t>PORTFOLIO EXPERIENCE GUIDE</w:t>
      </w:r>
    </w:p>
    <w:p>
      <w:pPr>
        <w:pStyle w:val="Title"/>
        <w:spacing w:after="20"/>
      </w:pPr>
      <w:r>
        <w:t>Curiosity Cabinet</w:t>
      </w:r>
    </w:p>
    <w:p>
      <w:pPr>
        <w:spacing w:after="240"/>
      </w:pPr>
      <w:r>
        <w:rPr>
          <w:color w:val="716B60"/>
          <w:sz w:val="24"/>
        </w:rPr>
        <w:t>A portfolio case study and guide to exploring the work</w:t>
      </w:r>
    </w:p>
    <w:p>
      <w:pPr>
        <w:spacing w:after="100"/>
      </w:pPr>
      <w:r>
        <w:t>Curiosity Cabinet is a portfolio for experience-design work, presented as a personal archive. Visitors can explore an atmospheric 3D cabinet or use a direct Projects view to scan the work. Both routes draw from the same project records and lead to individual case studies.</w:t>
      </w:r>
    </w:p>
    <w:p>
      <w:pPr>
        <w:spacing w:after="140"/>
      </w:pPr>
      <w:r>
        <w:rPr>
          <w:b/>
          <w:color w:val="1F1E1B"/>
        </w:rPr>
        <w:t xml:space="preserve">Live portfolio  </w:t>
      </w:r>
      <w:hyperlink r:id="rId9">
        <w:r>
          <w:rPr>
            <w:color w:val="8A6938"/>
            <w:u w:val="single"/>
          </w:rPr>
          <w:t>curiosity-cabinet-portfolio.vercel.app</w:t>
        </w:r>
      </w:hyperlink>
    </w:p>
    <w:p>
      <w:pPr>
        <w:pStyle w:val="Heading1"/>
      </w:pPr>
      <w:r>
        <w:t>The brief and design problem</w:t>
      </w:r>
    </w:p>
    <w:p>
      <w:r>
        <w:t>A conventional project grid is quick to scan, but does little to express the tactile, curious character of this portfolio. A 3D scene can create a memorable entry, yet it can also slow down visitors who simply need to understand the work. The brief therefore called for two things at once: an immersive cabinet experience and a clear, usable way to reach projects without depending on 3D.</w:t>
      </w:r>
    </w:p>
    <w:p>
      <w:r>
        <w:t>The design goal was to let visitors choose their level of exploration. The landing page names both routes plainly, so a recruiter can go straight to projects while a curious visitor can enter the room. Neither route hides the other, and both use the same case-study content.</w:t>
      </w:r>
    </w:p>
    <w:p>
      <w:pPr>
        <w:pStyle w:val="Heading1"/>
      </w:pPr>
      <w:r>
        <w:t>Two ways to enter</w:t>
      </w:r>
    </w:p>
    <w:tbl>
      <w:tblPr>
        <w:tblW w:type="auto" w:w="0"/>
        <w:jc w:val="center"/>
        <w:tblLayout w:type="fixed"/>
        <w:tblLook w:firstColumn="1" w:firstRow="1" w:lastColumn="0" w:lastRow="0" w:noHBand="0" w:noVBand="1" w:val="04A0"/>
      </w:tblPr>
      <w:tblGrid>
        <w:gridCol w:w="4680"/>
        <w:gridCol w:w="4680"/>
      </w:tblGrid>
      <w:tr>
        <w:tc>
          <w:tcPr>
            <w:tcW w:type="dxa" w:w="4680"/>
            <w:vAlign w:val="center"/>
            <w:shd w:fill="3C3024"/>
            <w:tcMar>
              <w:top w:w="110" w:type="dxa"/>
              <w:start w:w="135" w:type="dxa"/>
              <w:bottom w:w="110" w:type="dxa"/>
              <w:end w:w="135" w:type="dxa"/>
            </w:tcMar>
            <w:tcBorders>
              <w:top w:val="single" w:sz="6" w:color="D8D1C5"/>
              <w:left w:val="single" w:sz="6" w:color="D8D1C5"/>
              <w:bottom w:val="single" w:sz="6" w:color="D8D1C5"/>
              <w:right w:val="single" w:sz="6" w:color="D8D1C5"/>
              <w:insideH w:val="single" w:sz="6" w:color="D8D1C5"/>
              <w:insideV w:val="single" w:sz="6" w:color="D8D1C5"/>
            </w:tcBorders>
          </w:tcPr>
          <w:p>
            <w:pPr>
              <w:spacing w:after="0"/>
            </w:pPr>
            <w:r>
              <w:rPr>
                <w:b/>
                <w:color w:val="FFFFFF"/>
                <w:sz w:val="18"/>
              </w:rPr>
              <w:t>GAMIFIED MODE</w:t>
            </w:r>
          </w:p>
        </w:tc>
        <w:tc>
          <w:tcPr>
            <w:tcW w:type="dxa" w:w="4680"/>
            <w:vAlign w:val="center"/>
            <w:shd w:fill="3C3024"/>
            <w:tcMar>
              <w:top w:w="110" w:type="dxa"/>
              <w:start w:w="135" w:type="dxa"/>
              <w:bottom w:w="110" w:type="dxa"/>
              <w:end w:w="135" w:type="dxa"/>
            </w:tcMar>
            <w:tcBorders>
              <w:top w:val="single" w:sz="6" w:color="D8D1C5"/>
              <w:left w:val="single" w:sz="6" w:color="D8D1C5"/>
              <w:bottom w:val="single" w:sz="6" w:color="D8D1C5"/>
              <w:right w:val="single" w:sz="6" w:color="D8D1C5"/>
              <w:insideH w:val="single" w:sz="6" w:color="D8D1C5"/>
              <w:insideV w:val="single" w:sz="6" w:color="D8D1C5"/>
            </w:tcBorders>
          </w:tcPr>
          <w:p>
            <w:pPr>
              <w:spacing w:after="0"/>
            </w:pPr>
            <w:r>
              <w:rPr>
                <w:b/>
                <w:color w:val="FFFFFF"/>
                <w:sz w:val="18"/>
              </w:rPr>
              <w:t>RECRUITER MODE</w:t>
            </w:r>
          </w:p>
        </w:tc>
      </w:tr>
      <w:tr>
        <w:tc>
          <w:tcPr>
            <w:tcW w:type="dxa" w:w="4680"/>
            <w:vAlign w:val="top"/>
            <w:shd w:fill="F5F1E8"/>
            <w:tcMar>
              <w:top w:w="130" w:type="dxa"/>
              <w:start w:w="135" w:type="dxa"/>
              <w:bottom w:w="130" w:type="dxa"/>
              <w:end w:w="135" w:type="dxa"/>
            </w:tcMar>
            <w:tcBorders>
              <w:top w:val="single" w:sz="6" w:color="D8D1C5"/>
              <w:left w:val="single" w:sz="6" w:color="D8D1C5"/>
              <w:bottom w:val="single" w:sz="6" w:color="D8D1C5"/>
              <w:right w:val="single" w:sz="6" w:color="D8D1C5"/>
              <w:insideH w:val="single" w:sz="6" w:color="D8D1C5"/>
              <w:insideV w:val="single" w:sz="6" w:color="D8D1C5"/>
            </w:tcBorders>
          </w:tcPr>
          <w:p>
            <w:pPr>
              <w:spacing w:after="0" w:line="259" w:lineRule="auto"/>
            </w:pPr>
            <w:r>
              <w:rPr>
                <w:color w:val="393631"/>
                <w:sz w:val="18"/>
              </w:rPr>
              <w:t>Drag to orbit around the cabinet. Hover over a project bottle for a preview, then select it to inspect the project. With the scene focused, arrow keys orbit, Home resets the view, and 1–8 select a project. The Projects link remains available for direct browsing.</w:t>
            </w:r>
          </w:p>
        </w:tc>
        <w:tc>
          <w:tcPr>
            <w:tcW w:type="dxa" w:w="4680"/>
            <w:vAlign w:val="top"/>
            <w:shd w:fill="F5F1E8"/>
            <w:tcMar>
              <w:top w:w="130" w:type="dxa"/>
              <w:start w:w="135" w:type="dxa"/>
              <w:bottom w:w="130" w:type="dxa"/>
              <w:end w:w="135" w:type="dxa"/>
            </w:tcMar>
            <w:tcBorders>
              <w:top w:val="single" w:sz="6" w:color="D8D1C5"/>
              <w:left w:val="single" w:sz="6" w:color="D8D1C5"/>
              <w:bottom w:val="single" w:sz="6" w:color="D8D1C5"/>
              <w:right w:val="single" w:sz="6" w:color="D8D1C5"/>
              <w:insideH w:val="single" w:sz="6" w:color="D8D1C5"/>
              <w:insideV w:val="single" w:sz="6" w:color="D8D1C5"/>
            </w:tcBorders>
          </w:tcPr>
          <w:p>
            <w:pPr>
              <w:spacing w:after="0" w:line="259" w:lineRule="auto"/>
            </w:pPr>
            <w:r>
              <w:rPr>
                <w:color w:val="393631"/>
                <w:sz w:val="18"/>
              </w:rPr>
              <w:t>Open Projects to compare titles and short descriptions, then follow a case-study link for the full story. About and Contact are in the navigation. Case studies open in a new tab, and Choose mode returns visitors to the landing page.</w:t>
            </w:r>
          </w:p>
        </w:tc>
      </w:tr>
    </w:tbl>
    <w:p>
      <w:pPr>
        <w:pStyle w:val="Heading1"/>
      </w:pPr>
      <w:r>
        <w:t>The project collection</w:t>
      </w:r>
    </w:p>
    <w:p>
      <w:r>
        <w:t>Eight studies share the portfolio, covering product, service, research, and material-led inquiry:</w:t>
      </w:r>
    </w:p>
    <w:p>
      <w:pPr>
        <w:pStyle w:val="ListBullet"/>
        <w:spacing w:after="80"/>
        <w:ind w:left="331" w:hanging="202"/>
      </w:pPr>
      <w:r>
        <w:rPr>
          <w:b/>
          <w:color w:val="1F1E1B"/>
        </w:rPr>
        <w:t xml:space="preserve">V. POCKET  </w:t>
      </w:r>
      <w:r>
        <w:t>A compact emergency add-on concept for people using prosthetics.</w:t>
      </w:r>
    </w:p>
    <w:p>
      <w:pPr>
        <w:pStyle w:val="ListBullet"/>
        <w:spacing w:after="80"/>
        <w:ind w:left="331" w:hanging="202"/>
      </w:pPr>
      <w:r>
        <w:rPr>
          <w:b/>
          <w:color w:val="1F1E1B"/>
        </w:rPr>
        <w:t xml:space="preserve">Urban End-of-Life &amp; Death Care  </w:t>
      </w:r>
      <w:r>
        <w:t>A service-design response to the logistics around bereavement.</w:t>
      </w:r>
    </w:p>
    <w:p>
      <w:pPr>
        <w:pStyle w:val="ListBullet"/>
        <w:spacing w:after="80"/>
        <w:ind w:left="331" w:hanging="202"/>
      </w:pPr>
      <w:r>
        <w:rPr>
          <w:b/>
          <w:color w:val="1F1E1B"/>
        </w:rPr>
        <w:t xml:space="preserve">Focus Dial  </w:t>
      </w:r>
      <w:r>
        <w:t>A tangible desktop controller exploring more intentional online meetings.</w:t>
      </w:r>
    </w:p>
    <w:p>
      <w:pPr>
        <w:pStyle w:val="ListBullet"/>
        <w:spacing w:after="80"/>
        <w:ind w:left="331" w:hanging="202"/>
      </w:pPr>
      <w:r>
        <w:rPr>
          <w:b/>
          <w:color w:val="1F1E1B"/>
        </w:rPr>
        <w:t xml:space="preserve">Architect of Nothing  </w:t>
      </w:r>
      <w:r>
        <w:t>A physical narrative game about protocols, choice, and control.</w:t>
      </w:r>
    </w:p>
    <w:p>
      <w:pPr>
        <w:pStyle w:val="ListBullet"/>
        <w:spacing w:after="80"/>
        <w:ind w:left="331" w:hanging="202"/>
      </w:pPr>
      <w:r>
        <w:rPr>
          <w:b/>
          <w:color w:val="1F1E1B"/>
        </w:rPr>
        <w:t xml:space="preserve">Momentum Buddy  </w:t>
      </w:r>
      <w:r>
        <w:t>A mobile concept for peer accountability and body-doubling.</w:t>
      </w:r>
    </w:p>
    <w:p>
      <w:pPr>
        <w:pStyle w:val="ListBullet"/>
        <w:spacing w:after="80"/>
        <w:ind w:left="331" w:hanging="202"/>
      </w:pPr>
      <w:r>
        <w:rPr>
          <w:b/>
          <w:color w:val="1F1E1B"/>
        </w:rPr>
        <w:t xml:space="preserve">The Smell Library  </w:t>
      </w:r>
      <w:r>
        <w:t>A scent-led installation connecting aromas with recorded memories.</w:t>
      </w:r>
    </w:p>
    <w:p>
      <w:pPr>
        <w:pStyle w:val="ListBullet"/>
        <w:spacing w:after="80"/>
        <w:ind w:left="331" w:hanging="202"/>
      </w:pPr>
      <w:r>
        <w:rPr>
          <w:b/>
          <w:color w:val="1F1E1B"/>
        </w:rPr>
        <w:t xml:space="preserve">Research Translation  </w:t>
      </w:r>
      <w:r>
        <w:t>An essay translating research on Zoom fatigue into an autoethnographic narrative.</w:t>
      </w:r>
    </w:p>
    <w:p>
      <w:pPr>
        <w:pStyle w:val="ListBullet"/>
        <w:spacing w:after="80"/>
        <w:ind w:left="331" w:hanging="202"/>
      </w:pPr>
      <w:r>
        <w:rPr>
          <w:b/>
          <w:color w:val="1F1E1B"/>
        </w:rPr>
        <w:t xml:space="preserve">Bidar Craft Technology Field Study  </w:t>
      </w:r>
      <w:r>
        <w:t>A field reflection on traditional wooden door joinery as material knowledge.</w:t>
      </w:r>
    </w:p>
    <w:p>
      <w:r>
        <w:br w:type="page"/>
      </w:r>
    </w:p>
    <w:p>
      <w:pPr>
        <w:spacing w:after="80"/>
      </w:pPr>
      <w:r>
        <w:rPr>
          <w:b/>
          <w:color w:val="8A6938"/>
          <w:sz w:val="17"/>
        </w:rPr>
        <w:t>EXPERIENCE DESIGN</w:t>
      </w:r>
    </w:p>
    <w:p>
      <w:pPr>
        <w:pStyle w:val="Heading1"/>
      </w:pPr>
      <w:r>
        <w:t>How the cabinet works</w:t>
      </w:r>
    </w:p>
    <w:p>
      <w:r>
        <w:t>The cabinet turns browsing into a sequence of small acts: notice an object, preview it, and choose whether to go deeper. Project bottles are the main entry points. Their number labels and hover previews help identify them before selection, while the preview links out to a full case study. The interface keeps a separate Projects view for anyone who prefers a familiar list.</w:t>
      </w:r>
    </w:p>
    <w:p>
      <w:r>
        <w:t>The cabinet’s visual language follows the supplied direction: aged wood, stained-paper qualities, ornate framed images, and a restrained reddish amber glow. These choices make the room feel like a personal collection rather than a generic technology demo. The photo wall and display objects extend that archive idea around the cabinet.</w:t>
      </w:r>
    </w:p>
    <w:p>
      <w:pPr>
        <w:pStyle w:val="Heading1"/>
      </w:pPr>
      <w:r>
        <w:t>Key decisions</w:t>
      </w:r>
    </w:p>
    <w:p>
      <w:pPr>
        <w:pStyle w:val="ListNumber"/>
        <w:spacing w:after="100"/>
        <w:ind w:left="360" w:hanging="259"/>
      </w:pPr>
      <w:r>
        <w:rPr>
          <w:b/>
          <w:color w:val="1F1E1B"/>
        </w:rPr>
        <w:t xml:space="preserve">Pair atmosphere with clarity  </w:t>
      </w:r>
      <w:r>
        <w:t>The 3D cabinet carries the distinctive visual identity; the Recruiter Mode removes the need to explore the room before reaching the work. The landing page sets expectations and makes the choice understandable at entry.</w:t>
      </w:r>
    </w:p>
    <w:p>
      <w:pPr>
        <w:pStyle w:val="ListNumber"/>
        <w:spacing w:after="100"/>
        <w:ind w:left="360" w:hanging="259"/>
      </w:pPr>
      <w:r>
        <w:rPr>
          <w:b/>
          <w:color w:val="1F1E1B"/>
        </w:rPr>
        <w:t xml:space="preserve">Keep one source of project truth  </w:t>
      </w:r>
      <w:r>
        <w:t>Project titles, summaries, roles, and case-study URLs are maintained in a shared data module. The interactive previews and Projects cards read from that source, reducing the chance that two modes drift apart.</w:t>
      </w:r>
    </w:p>
    <w:p>
      <w:pPr>
        <w:pStyle w:val="ListNumber"/>
        <w:spacing w:after="100"/>
        <w:ind w:left="360" w:hanging="259"/>
      </w:pPr>
      <w:r>
        <w:rPr>
          <w:b/>
          <w:color w:val="1F1E1B"/>
        </w:rPr>
        <w:t xml:space="preserve">Make 3D optional  </w:t>
      </w:r>
      <w:r>
        <w:t>The portfolio’s main content has a direct Projects route and a fallback list when the WebGL scene cannot start. Individual case studies are separate HTML pages, so they can be opened directly and refreshed like normal pages.</w:t>
      </w:r>
    </w:p>
    <w:p>
      <w:pPr>
        <w:pStyle w:val="ListNumber"/>
        <w:spacing w:after="100"/>
        <w:ind w:left="360" w:hanging="259"/>
      </w:pPr>
      <w:r>
        <w:rPr>
          <w:b/>
          <w:color w:val="1F1E1B"/>
        </w:rPr>
        <w:t xml:space="preserve">Use objects to organize the story  </w:t>
      </w:r>
      <w:r>
        <w:t>Bottles represent projects and invite inspection. The cabinet gives visitors a spatial overview, while each case study returns to readable text and project documentation.</w:t>
      </w:r>
    </w:p>
    <w:p>
      <w:pPr>
        <w:pStyle w:val="Heading1"/>
      </w:pPr>
      <w:r>
        <w:t>Process</w:t>
      </w:r>
    </w:p>
    <w:p>
      <w:pPr>
        <w:pStyle w:val="ListNumber"/>
        <w:spacing w:after="100"/>
        <w:ind w:left="360" w:hanging="259"/>
      </w:pPr>
      <w:r>
        <w:rPr>
          <w:b/>
          <w:color w:val="1F1E1B"/>
        </w:rPr>
        <w:t xml:space="preserve">Frame the brief  </w:t>
      </w:r>
      <w:r>
        <w:t>Define the cabinet as an archive for design work, then set a usability constraint: visitors must still be able to find and read projects without treating the 3D room as a puzzle.</w:t>
      </w:r>
    </w:p>
    <w:p>
      <w:pPr>
        <w:pStyle w:val="ListNumber"/>
        <w:spacing w:after="100"/>
        <w:ind w:left="360" w:hanging="259"/>
      </w:pPr>
      <w:r>
        <w:rPr>
          <w:b/>
          <w:color w:val="1F1E1B"/>
        </w:rPr>
        <w:t xml:space="preserve">Set the visual direction  </w:t>
      </w:r>
      <w:r>
        <w:t>Collect references for bottles, aged interiors, lighting, materials, and typography. Translate them into a consistent cabinet environment and a complementary, more direct recruiter route.</w:t>
      </w:r>
    </w:p>
    <w:p>
      <w:pPr>
        <w:pStyle w:val="ListNumber"/>
        <w:spacing w:after="100"/>
        <w:ind w:left="360" w:hanging="259"/>
      </w:pPr>
      <w:r>
        <w:rPr>
          <w:b/>
          <w:color w:val="1F1E1B"/>
        </w:rPr>
        <w:t xml:space="preserve">Structure the collection  </w:t>
      </w:r>
      <w:r>
        <w:t>Organize project metadata in one shared source and give each project a dedicated case-study page. Separate featured work from supporting studies in the Projects view.</w:t>
      </w:r>
    </w:p>
    <w:p>
      <w:pPr>
        <w:pStyle w:val="ListNumber"/>
        <w:spacing w:after="100"/>
        <w:ind w:left="360" w:hanging="259"/>
      </w:pPr>
      <w:r>
        <w:rPr>
          <w:b/>
          <w:color w:val="1F1E1B"/>
        </w:rPr>
        <w:t xml:space="preserve">Build the interaction  </w:t>
      </w:r>
      <w:r>
        <w:t>Create the Three.js room and its bottle-selection, hover-preview, orbit, and keyboard interactions. Add navigation, case-study links, and the conventional Projects interface around it.</w:t>
      </w:r>
    </w:p>
    <w:p>
      <w:pPr>
        <w:pStyle w:val="ListNumber"/>
        <w:spacing w:after="100"/>
        <w:ind w:left="360" w:hanging="259"/>
      </w:pPr>
      <w:r>
        <w:rPr>
          <w:b/>
          <w:color w:val="1F1E1B"/>
        </w:rPr>
        <w:t xml:space="preserve">Prepare for different devices and deployment  </w:t>
      </w:r>
      <w:r>
        <w:t>Keep browser zoom available, respect reduced-motion preferences, provide keyboard access and dialog focus handling, and configure a Vite build that includes the case-study pages and their assets for Vercel.</w:t>
      </w:r>
    </w:p>
    <w:p>
      <w:r>
        <w:br w:type="page"/>
      </w:r>
    </w:p>
    <w:p>
      <w:pPr>
        <w:spacing w:after="80"/>
      </w:pPr>
      <w:r>
        <w:rPr>
          <w:b/>
          <w:color w:val="8A6938"/>
          <w:sz w:val="17"/>
        </w:rPr>
        <w:t>DELIVERY AND CREDITS</w:t>
      </w:r>
    </w:p>
    <w:p>
      <w:pPr>
        <w:pStyle w:val="Heading1"/>
      </w:pPr>
      <w:r>
        <w:t>Access and technical structure</w:t>
      </w:r>
    </w:p>
    <w:p>
      <w:r>
        <w:t>The interactive experience uses Three.js for the cabinet scene and GSAP for motion. Vite bundles the site and produces static output. The mode selection uses a query parameter, while case studies have their own URLs; this keeps the portfolio navigable through direct links and browser refreshes. The same projects remain available in Recruiter Mode if the scene is slow, unavailable, or uncomfortable to use.</w:t>
      </w:r>
    </w:p>
    <w:p>
      <w:pPr>
        <w:pStyle w:val="ListBullet"/>
        <w:spacing w:after="80"/>
        <w:ind w:left="331" w:hanging="202"/>
      </w:pPr>
      <w:r>
        <w:rPr>
          <w:b/>
          <w:color w:val="1F1E1B"/>
        </w:rPr>
        <w:t xml:space="preserve">Keyboard use: </w:t>
      </w:r>
      <w:r>
        <w:t>Arrow keys orbit the scene, Home returns to the overview, and number keys select project bottles after the scene receives focus.</w:t>
      </w:r>
    </w:p>
    <w:p>
      <w:pPr>
        <w:pStyle w:val="ListBullet"/>
        <w:spacing w:after="80"/>
        <w:ind w:left="331" w:hanging="202"/>
      </w:pPr>
      <w:r>
        <w:rPr>
          <w:b/>
          <w:color w:val="1F1E1B"/>
        </w:rPr>
        <w:t xml:space="preserve">Pointer and touch: </w:t>
      </w:r>
      <w:r>
        <w:t>Pointer interactions support hover previews and selection. Dragging the scene changes the viewing angle; the Projects route provides a non-3D browsing option.</w:t>
      </w:r>
    </w:p>
    <w:p>
      <w:pPr>
        <w:pStyle w:val="ListBullet"/>
        <w:spacing w:after="80"/>
        <w:ind w:left="331" w:hanging="202"/>
      </w:pPr>
      <w:r>
        <w:rPr>
          <w:b/>
          <w:color w:val="1F1E1B"/>
        </w:rPr>
        <w:t xml:space="preserve">Case-study access: </w:t>
      </w:r>
      <w:r>
        <w:t>Project cards link to standalone pages, and the links open in a new tab so visitors can keep the collection open.</w:t>
      </w:r>
    </w:p>
    <w:p>
      <w:pPr>
        <w:pStyle w:val="ListBullet"/>
        <w:spacing w:after="80"/>
        <w:ind w:left="331" w:hanging="202"/>
      </w:pPr>
      <w:r>
        <w:rPr>
          <w:b/>
          <w:color w:val="1F1E1B"/>
        </w:rPr>
        <w:t xml:space="preserve">Motion and focus: </w:t>
      </w:r>
      <w:r>
        <w:t>Reduced-motion preferences are considered in scene transitions, and dialogs move focus into the open panel and return it when closed.</w:t>
      </w:r>
    </w:p>
    <w:p>
      <w:pPr>
        <w:pStyle w:val="Heading1"/>
      </w:pPr>
      <w:r>
        <w:t>Scope and next checks</w:t>
      </w:r>
    </w:p>
    <w:p>
      <w:r>
        <w:t>The portfolio is a presentation system for a set of academic and exploratory design projects. Its case studies hold the project-specific research, making, and reflection. The available project files do not report visitor testing, usage analytics, or measured performance results for the portfolio itself, so this case study makes no claims about completion rates or audience outcomes.</w:t>
      </w:r>
    </w:p>
    <w:p>
      <w:r>
        <w:t>A useful next step is to watch a few first-time visitors choose a mode, find a project, and open a case study on both a laptop and a phone. That would show whether the landing-page labels and cabinet controls are clear without adding unnecessary interaction.</w:t>
      </w:r>
    </w:p>
    <w:p>
      <w:pPr>
        <w:pStyle w:val="Heading1"/>
      </w:pPr>
      <w:r>
        <w:t>Credits</w:t>
      </w:r>
    </w:p>
    <w:p>
      <w:pPr>
        <w:spacing w:after="80"/>
      </w:pPr>
      <w:r>
        <w:rPr>
          <w:b/>
        </w:rPr>
        <w:t xml:space="preserve">Portfolio concept, direction, and project curation: </w:t>
      </w:r>
      <w:r>
        <w:t>Sudarsinii Mazumdar.</w:t>
      </w:r>
    </w:p>
    <w:p>
      <w:pPr>
        <w:spacing w:after="80"/>
      </w:pPr>
      <w:r>
        <w:rPr>
          <w:b/>
        </w:rPr>
        <w:t xml:space="preserve">Urban End-of-Life &amp; Death Care: </w:t>
      </w:r>
      <w:r>
        <w:t>Collaborative work with Moulik Nanda; Sudarsinii’s listed role is Co-Lead Service Designer and Researcher.</w:t>
      </w:r>
    </w:p>
    <w:p>
      <w:pPr>
        <w:spacing w:after="80"/>
      </w:pPr>
      <w:r>
        <w:rPr>
          <w:b/>
        </w:rPr>
        <w:t xml:space="preserve">The Smell Library: </w:t>
      </w:r>
      <w:r>
        <w:t>Co-created with Alatinanda Sethi, with mentorship from Dr. Dyutiman Mukhopadhyay and Ujjwal Agarwal. MAHE-SMI Gallery is listed as the exhibition venue.</w:t>
      </w:r>
    </w:p>
    <w:p>
      <w:pPr>
        <w:spacing w:after="80"/>
      </w:pPr>
      <w:r>
        <w:rPr>
          <w:b/>
        </w:rPr>
        <w:t xml:space="preserve">Web technologies: </w:t>
      </w:r>
      <w:r>
        <w:t>HTML, CSS, JavaScript, Vite, Three.js, and GSAP. The live project is hosted on Vercel and connected to GitHub.</w:t>
      </w:r>
    </w:p>
    <w:p>
      <w:pPr>
        <w:spacing w:after="0"/>
      </w:pPr>
      <w:r>
        <w:rPr>
          <w:b/>
        </w:rPr>
        <w:t xml:space="preserve">Visual references: </w:t>
      </w:r>
      <w:r>
        <w:t>The reference board records the visual direction but does not include original source links for its mood-board images. Individual image creators are therefore not attributed in this document.</w:t>
      </w:r>
    </w:p>
    <w:sectPr w:rsidR="00FC693F" w:rsidRPr="0006063C" w:rsidSect="00034616">
      <w:footerReference w:type="default" r:id="rId10"/>
      <w:pgSz w:w="11909" w:h="16834"/>
      <w:pgMar w:top="950"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color w:val="716B60"/>
        <w:sz w:val="16"/>
      </w:rPr>
      <w:t xml:space="preserve">CURIOSITY CABINET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6" w:lineRule="auto"/>
    </w:pPr>
    <w:rPr>
      <w:rFonts w:ascii="Aptos" w:hAnsi="Aptos"/>
      <w:color w:val="3936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1E1B"/>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F1E1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1E1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uriosity-cabinet-portfolio.vercel.app/"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Curiosity Cabinet Portfolio Case Study</dc:title>
  <dc:subject>Portfolio experience, design decisions, process, implementation, and credits</dc:subject>
  <dc:creator>Sudarsinii Mazumdar</dc:creator>
  <cp:keywords/>
  <dc:description>generated by python-docx</dc:description>
  <cp:lastModifiedBy/>
  <cp:revision>1</cp:revision>
  <dcterms:created xsi:type="dcterms:W3CDTF">2013-12-23T23:15:00Z</dcterms:created>
  <dcterms:modified xsi:type="dcterms:W3CDTF">2013-12-23T23:15:00Z</dcterms:modified>
  <cp:category/>
</cp:coreProperties>
</file>