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udath-attanayake"/>
    <w:p>
      <w:pPr>
        <w:pStyle w:val="Heading1"/>
      </w:pPr>
      <w:r>
        <w:t xml:space="preserve">Sudath Attanayake</w:t>
      </w:r>
    </w:p>
    <w:p>
      <w:pPr>
        <w:pStyle w:val="FirstParagraph"/>
      </w:pPr>
      <w:r>
        <w:t xml:space="preserve">Melbourne, VIC, Australia | Available for remote and hybrid roles</w:t>
      </w:r>
      <w:r>
        <w:t xml:space="preserve"> </w:t>
      </w:r>
      <w:r>
        <w:t xml:space="preserve">LinkedIn: linkedin.com/in/sudath-attanayake | Email: sudatha@gmail.com | Phone: 0411040055</w:t>
      </w:r>
    </w:p>
    <w:bookmarkStart w:id="9" w:name="X5a35d2fbd058c1696d7310c18ef951cfd7235b4"/>
    <w:p>
      <w:pPr>
        <w:pStyle w:val="Heading2"/>
      </w:pPr>
      <w:r>
        <w:t xml:space="preserve">Senior Data Architect - Digital Health Transformation</w:t>
      </w:r>
    </w:p>
    <w:bookmarkEnd w:id="9"/>
    <w:bookmarkStart w:id="10" w:name="key-highlights"/>
    <w:p>
      <w:pPr>
        <w:pStyle w:val="Heading2"/>
      </w:pPr>
      <w:r>
        <w:t xml:space="preserve">Key Highlights</w:t>
      </w:r>
    </w:p>
    <w:p>
      <w:pPr>
        <w:pStyle w:val="Compact"/>
        <w:numPr>
          <w:ilvl w:val="0"/>
          <w:numId w:val="1001"/>
        </w:numPr>
      </w:pPr>
      <w:r>
        <w:t xml:space="preserve">15+ years designing and delivering enterprise data architecture across healthcare, government-aligned, and regulated environments.</w:t>
      </w:r>
    </w:p>
    <w:p>
      <w:pPr>
        <w:pStyle w:val="Compact"/>
        <w:numPr>
          <w:ilvl w:val="0"/>
          <w:numId w:val="1001"/>
        </w:numPr>
      </w:pPr>
      <w:r>
        <w:t xml:space="preserve">Built scalable data architecture for clinical-adjacent, healthcare billing, financial, and operational reporting domains.</w:t>
      </w:r>
    </w:p>
    <w:p>
      <w:pPr>
        <w:pStyle w:val="Compact"/>
        <w:numPr>
          <w:ilvl w:val="0"/>
          <w:numId w:val="1001"/>
        </w:numPr>
      </w:pPr>
      <w:r>
        <w:t xml:space="preserve">Designed Microsoft Azure and Microsoft Fabric architecture blueprints, including OneLake-enabled lakehouse patterns.</w:t>
      </w:r>
    </w:p>
    <w:p>
      <w:pPr>
        <w:pStyle w:val="Compact"/>
        <w:numPr>
          <w:ilvl w:val="0"/>
          <w:numId w:val="1001"/>
        </w:numPr>
      </w:pPr>
      <w:r>
        <w:t xml:space="preserve">Delivered large-scale data warehouse and lakehouse solutions using medallion architecture, star schemas, and snowflake schemas.</w:t>
      </w:r>
    </w:p>
    <w:p>
      <w:pPr>
        <w:pStyle w:val="Compact"/>
        <w:numPr>
          <w:ilvl w:val="0"/>
          <w:numId w:val="1001"/>
        </w:numPr>
      </w:pPr>
      <w:r>
        <w:t xml:space="preserve">Defined data migration and engineering patterns across on-premises source systems and cloud-hosted platforms.</w:t>
      </w:r>
    </w:p>
    <w:p>
      <w:pPr>
        <w:pStyle w:val="Compact"/>
        <w:numPr>
          <w:ilvl w:val="0"/>
          <w:numId w:val="1001"/>
        </w:numPr>
      </w:pPr>
      <w:r>
        <w:t xml:space="preserve">Implemented governance frameworks spanning clinical data lifecycle controls, data standards, metadata, lineage, stewardship, and data quality monitoring.</w:t>
      </w:r>
    </w:p>
    <w:p>
      <w:pPr>
        <w:pStyle w:val="Compact"/>
        <w:numPr>
          <w:ilvl w:val="0"/>
          <w:numId w:val="1001"/>
        </w:numPr>
      </w:pPr>
      <w:r>
        <w:t xml:space="preserve">Built deep hands-on experience with HL7 message structures and interface mapping for healthcare data integration.</w:t>
      </w:r>
    </w:p>
    <w:p>
      <w:pPr>
        <w:pStyle w:val="Compact"/>
        <w:numPr>
          <w:ilvl w:val="0"/>
          <w:numId w:val="1001"/>
        </w:numPr>
      </w:pPr>
      <w:r>
        <w:t xml:space="preserve">Worked with secure data exchange and privacy-by-design practices using OAuth2, SAML, TLS, and compliance-aligned controls.</w:t>
      </w:r>
    </w:p>
    <w:p>
      <w:pPr>
        <w:pStyle w:val="Compact"/>
        <w:numPr>
          <w:ilvl w:val="0"/>
          <w:numId w:val="1001"/>
        </w:numPr>
      </w:pPr>
      <w:r>
        <w:t xml:space="preserve">Contributed architecture artefacts, integration plans, risk mitigation, and governance forum outcomes in fast-moving transformation programs.</w:t>
      </w:r>
    </w:p>
    <w:bookmarkEnd w:id="10"/>
    <w:bookmarkStart w:id="11" w:name="professional-summary"/>
    <w:p>
      <w:pPr>
        <w:pStyle w:val="Heading2"/>
      </w:pPr>
      <w:r>
        <w:t xml:space="preserve">Professional Summary</w:t>
      </w:r>
    </w:p>
    <w:p>
      <w:pPr>
        <w:pStyle w:val="FirstParagraph"/>
      </w:pPr>
      <w:r>
        <w:t xml:space="preserve">Senior Data Architect with 15+ years of experience shaping enterprise data platforms and architecture decisions across Australia and New Zealand. Strong track record in healthcare-focused environments, with hands-on delivery of scalable conceptual, logical, and physical data models; cloud and on-prem integration patterns; and reporting platforms that improve accessibility and trust in data. Experienced in Azure and Microsoft Fabric architecture, including OneLake, medallion patterns, and dimensional modelling for enterprise analytics. Known for pragmatic leadership in architecture governance, documentation, and delivery teams to produce secure, interoperable, and standards-aligned outcomes for digital transformation initiatives.</w:t>
      </w:r>
    </w:p>
    <w:bookmarkEnd w:id="11"/>
    <w:bookmarkStart w:id="12" w:name="core-competencies"/>
    <w:p>
      <w:pPr>
        <w:pStyle w:val="Heading2"/>
      </w:pPr>
      <w:r>
        <w:t xml:space="preserve">Core Competencies</w:t>
      </w:r>
    </w:p>
    <w:p>
      <w:pPr>
        <w:pStyle w:val="Compact"/>
        <w:numPr>
          <w:ilvl w:val="0"/>
          <w:numId w:val="1002"/>
        </w:numPr>
      </w:pPr>
      <w:r>
        <w:t xml:space="preserve">Enterprise Data Architecture and Target-State Design</w:t>
      </w:r>
    </w:p>
    <w:p>
      <w:pPr>
        <w:pStyle w:val="Compact"/>
        <w:numPr>
          <w:ilvl w:val="0"/>
          <w:numId w:val="1002"/>
        </w:numPr>
      </w:pPr>
      <w:r>
        <w:t xml:space="preserve">Conceptual, Logical, and Physical Data Modelling</w:t>
      </w:r>
    </w:p>
    <w:p>
      <w:pPr>
        <w:pStyle w:val="Compact"/>
        <w:numPr>
          <w:ilvl w:val="0"/>
          <w:numId w:val="1002"/>
        </w:numPr>
      </w:pPr>
      <w:r>
        <w:t xml:space="preserve">Healthcare Data Modelling (Clinical-Adjacent, Billing, Financial, Operational)</w:t>
      </w:r>
    </w:p>
    <w:p>
      <w:pPr>
        <w:pStyle w:val="Compact"/>
        <w:numPr>
          <w:ilvl w:val="0"/>
          <w:numId w:val="1002"/>
        </w:numPr>
      </w:pPr>
      <w:r>
        <w:t xml:space="preserve">Microsoft Azure and Microsoft Fabric (OneLake/DeltaLake/Lakehouse) Architecture</w:t>
      </w:r>
    </w:p>
    <w:p>
      <w:pPr>
        <w:pStyle w:val="Compact"/>
        <w:numPr>
          <w:ilvl w:val="0"/>
          <w:numId w:val="1002"/>
        </w:numPr>
      </w:pPr>
      <w:r>
        <w:t xml:space="preserve">Medallion Architecture ( Bronze/Silver /Gold), Star Schema, and Snowflake Schema Design</w:t>
      </w:r>
    </w:p>
    <w:p>
      <w:pPr>
        <w:pStyle w:val="Compact"/>
        <w:numPr>
          <w:ilvl w:val="0"/>
          <w:numId w:val="1002"/>
        </w:numPr>
      </w:pPr>
      <w:r>
        <w:t xml:space="preserve">Data Warehouse and Lakehouse Optimisation</w:t>
      </w:r>
    </w:p>
    <w:p>
      <w:pPr>
        <w:pStyle w:val="Compact"/>
        <w:numPr>
          <w:ilvl w:val="0"/>
          <w:numId w:val="1002"/>
        </w:numPr>
      </w:pPr>
      <w:r>
        <w:t xml:space="preserve">Data Migration Patterns (On-Prem to Cloud)</w:t>
      </w:r>
    </w:p>
    <w:p>
      <w:pPr>
        <w:pStyle w:val="Compact"/>
        <w:numPr>
          <w:ilvl w:val="0"/>
          <w:numId w:val="1002"/>
        </w:numPr>
      </w:pPr>
      <w:r>
        <w:t xml:space="preserve">Data Governance Frameworks and Data Dictionary Standards</w:t>
      </w:r>
    </w:p>
    <w:p>
      <w:pPr>
        <w:pStyle w:val="Compact"/>
        <w:numPr>
          <w:ilvl w:val="0"/>
          <w:numId w:val="1002"/>
        </w:numPr>
      </w:pPr>
      <w:r>
        <w:t xml:space="preserve">Metadata Management, Cataloguing, Lineage, and Stewardship</w:t>
      </w:r>
    </w:p>
    <w:p>
      <w:pPr>
        <w:pStyle w:val="Compact"/>
        <w:numPr>
          <w:ilvl w:val="0"/>
          <w:numId w:val="1002"/>
        </w:numPr>
      </w:pPr>
      <w:r>
        <w:t xml:space="preserve">Healthcare Interoperability and Secure Data Exchange Patterns</w:t>
      </w:r>
    </w:p>
    <w:p>
      <w:pPr>
        <w:pStyle w:val="Compact"/>
        <w:numPr>
          <w:ilvl w:val="0"/>
          <w:numId w:val="1002"/>
        </w:numPr>
      </w:pPr>
      <w:r>
        <w:t xml:space="preserve">Architecture Governance, Risk Management, and Continuous Improvement</w:t>
      </w:r>
    </w:p>
    <w:bookmarkEnd w:id="12"/>
    <w:bookmarkStart w:id="13" w:name="technical-skills"/>
    <w:p>
      <w:pPr>
        <w:pStyle w:val="Heading2"/>
      </w:pPr>
      <w:r>
        <w:t xml:space="preserve">Technical Skills</w:t>
      </w:r>
    </w:p>
    <w:p>
      <w:pPr>
        <w:pStyle w:val="Compact"/>
        <w:numPr>
          <w:ilvl w:val="0"/>
          <w:numId w:val="1003"/>
        </w:numPr>
      </w:pPr>
      <w:r>
        <w:t xml:space="preserve">Platforms: Microsoft Azure, Microsoft Fabric, OneLake, DeltaLake, Lakehouse, Azure SQL, Azure Synapse, SQL Server</w:t>
      </w:r>
    </w:p>
    <w:p>
      <w:pPr>
        <w:pStyle w:val="Compact"/>
        <w:numPr>
          <w:ilvl w:val="0"/>
          <w:numId w:val="1003"/>
        </w:numPr>
      </w:pPr>
      <w:r>
        <w:t xml:space="preserve">Data Architecture: Enterprise blueprinting, canonical models, semantic modelling, dimensional modelling</w:t>
      </w:r>
    </w:p>
    <w:p>
      <w:pPr>
        <w:pStyle w:val="Compact"/>
        <w:numPr>
          <w:ilvl w:val="0"/>
          <w:numId w:val="1003"/>
        </w:numPr>
      </w:pPr>
      <w:r>
        <w:t xml:space="preserve">Data Engineering: ETL/ELT patterns, orchestration, data quality controls, performance optimisation</w:t>
      </w:r>
    </w:p>
    <w:p>
      <w:pPr>
        <w:pStyle w:val="Compact"/>
        <w:numPr>
          <w:ilvl w:val="0"/>
          <w:numId w:val="1003"/>
        </w:numPr>
      </w:pPr>
      <w:r>
        <w:t xml:space="preserve">Governance: Data governance frameworks, metadata standards, lineage, stewardship, policy controls</w:t>
      </w:r>
    </w:p>
    <w:p>
      <w:pPr>
        <w:pStyle w:val="Compact"/>
        <w:numPr>
          <w:ilvl w:val="0"/>
          <w:numId w:val="1003"/>
        </w:numPr>
      </w:pPr>
      <w:r>
        <w:t xml:space="preserve">Healthcare Interoperability: HL7 message integration, FHIR/CDA/SNOMED-CT awareness, API-led integration, interoperability design considerations</w:t>
      </w:r>
    </w:p>
    <w:p>
      <w:pPr>
        <w:pStyle w:val="Compact"/>
        <w:numPr>
          <w:ilvl w:val="0"/>
          <w:numId w:val="1003"/>
        </w:numPr>
      </w:pPr>
      <w:r>
        <w:t xml:space="preserve">Security and Privacy: OAuth2, SAML, TLS, GDPR, Australian Privacy Principles-aligned control design</w:t>
      </w:r>
    </w:p>
    <w:p>
      <w:pPr>
        <w:pStyle w:val="Compact"/>
        <w:numPr>
          <w:ilvl w:val="0"/>
          <w:numId w:val="1003"/>
        </w:numPr>
      </w:pPr>
      <w:r>
        <w:t xml:space="preserve">Analytics: Power BI, DAX, Power Query, enterprise reporting architecture</w:t>
      </w:r>
    </w:p>
    <w:bookmarkEnd w:id="13"/>
    <w:bookmarkStart w:id="22" w:name="professional-experience"/>
    <w:p>
      <w:pPr>
        <w:pStyle w:val="Heading2"/>
      </w:pPr>
      <w:r>
        <w:t xml:space="preserve">Professional Experience</w:t>
      </w:r>
    </w:p>
    <w:bookmarkStart w:id="14"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Led enterprise data architecture and platform direction across regulated data domains, aligning solutions to security, quality, and governance standards.</w:t>
      </w:r>
      <w:r>
        <w:t xml:space="preserve"> </w:t>
      </w:r>
      <w:r>
        <w:t xml:space="preserve">- Defined Microsoft Fabric architecture blueprint patterns for ingestion, transformation, and consumption layers aligned to OneLake and medallion architecture.</w:t>
      </w:r>
      <w:r>
        <w:t xml:space="preserve"> </w:t>
      </w:r>
      <w:r>
        <w:t xml:space="preserve">- Produced architecture artefacts including technical design inputs, integration plans, and delivery guidance for implementation teams.</w:t>
      </w:r>
      <w:r>
        <w:t xml:space="preserve"> </w:t>
      </w:r>
      <w:r>
        <w:t xml:space="preserve">- Established cross-team governance practices for metadata ownership, lineage visibility, data quality controls, and operational reliability.</w:t>
      </w:r>
      <w:r>
        <w:t xml:space="preserve"> </w:t>
      </w:r>
      <w:r>
        <w:t xml:space="preserve">- Partnered with architecture and delivery teams in iterative ways of working to accelerate delivery and reduce design rework.</w:t>
      </w:r>
    </w:p>
    <w:bookmarkEnd w:id="14"/>
    <w:bookmarkStart w:id="15" w:name="Xc5ef9dceb191335fc8ab039a61e2c9c79182478"/>
    <w:p>
      <w:pPr>
        <w:pStyle w:val="Heading3"/>
      </w:pPr>
      <w:r>
        <w:t xml:space="preserve">Abano Healthcare Group, Melbourne, Australia and New Zealand (Hybrid)</w:t>
      </w:r>
    </w:p>
    <w:p>
      <w:pPr>
        <w:pStyle w:val="FirstParagraph"/>
      </w:pPr>
      <w:r>
        <w:rPr>
          <w:b/>
          <w:bCs/>
        </w:rPr>
        <w:t xml:space="preserve">Data and Analytics Architect | Nov 2022 - Apr 2025</w:t>
      </w:r>
      <w:r>
        <w:t xml:space="preserve"> </w:t>
      </w:r>
      <w:r>
        <w:t xml:space="preserve">- Owned enterprise data architecture across 250+ sites for healthcare billing, financial, and operational reporting domains.</w:t>
      </w:r>
      <w:r>
        <w:t xml:space="preserve"> </w:t>
      </w:r>
      <w:r>
        <w:t xml:space="preserve">- Designed conceptual, logical, and physical data models supporting scalable analytics and consistent data definitions.</w:t>
      </w:r>
      <w:r>
        <w:t xml:space="preserve"> </w:t>
      </w:r>
      <w:r>
        <w:t xml:space="preserve">- Delivered Azure-to-Fabric-aligned migration patterns from legacy data warehouse estates to modern cloud architecture.</w:t>
      </w:r>
      <w:r>
        <w:t xml:space="preserve"> </w:t>
      </w:r>
      <w:r>
        <w:t xml:space="preserve">- Standardised dimensional modelling patterns (star and snowflake) and improved model performance for executive and operational reporting.</w:t>
      </w:r>
      <w:r>
        <w:t xml:space="preserve"> </w:t>
      </w:r>
      <w:r>
        <w:t xml:space="preserve">- Implemented governance controls for metadata, lineage, privacy obligations, and data quality monitoring across business-critical datasets.</w:t>
      </w:r>
      <w:r>
        <w:t xml:space="preserve"> </w:t>
      </w:r>
      <w:r>
        <w:t xml:space="preserve">- Collaborated with stakeholders to define interoperable integration patterns that improved consistency and timeliness of enterprise reporting.</w:t>
      </w:r>
    </w:p>
    <w:bookmarkEnd w:id="15"/>
    <w:bookmarkStart w:id="16"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Improved reliability, performance, and resilience of enterprise SQL Server platforms under strict service and governance requirements.</w:t>
      </w:r>
      <w:r>
        <w:t xml:space="preserve"> </w:t>
      </w:r>
      <w:r>
        <w:t xml:space="preserve">- Supported secure platform operations and integration delivery for healthcare-aligned systems.</w:t>
      </w:r>
      <w:r>
        <w:t xml:space="preserve"> </w:t>
      </w:r>
      <w:r>
        <w:t xml:space="preserve">- Drove performance and stability improvements across two large data warehouses.</w:t>
      </w:r>
      <w:r>
        <w:t xml:space="preserve"> </w:t>
      </w:r>
      <w:r>
        <w:t xml:space="preserve">- Strengthened security and governance controls for patient-centric data.</w:t>
      </w:r>
      <w:r>
        <w:t xml:space="preserve"> </w:t>
      </w:r>
      <w:r>
        <w:t xml:space="preserve">- Played a major role in reducing operational costs across the data ecosystem.</w:t>
      </w:r>
    </w:p>
    <w:bookmarkEnd w:id="16"/>
    <w:bookmarkStart w:id="17"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Primary DBA for New Zealand’s national e-Prescription platform in a high-availability, regulated health environment.</w:t>
      </w:r>
      <w:r>
        <w:t xml:space="preserve"> </w:t>
      </w:r>
      <w:r>
        <w:t xml:space="preserve">- Designed, supported, and troubleshot HL7 message integrations for health data exchange between clinical systems and partner platforms.</w:t>
      </w:r>
      <w:r>
        <w:t xml:space="preserve"> </w:t>
      </w:r>
      <w:r>
        <w:t xml:space="preserve">- Led migration of 8 TB SQL Server workloads to Azure with phased validation, controlled cutover, and continuity planning.</w:t>
      </w:r>
      <w:r>
        <w:t xml:space="preserve"> </w:t>
      </w:r>
      <w:r>
        <w:t xml:space="preserve">- Strengthened security and operational controls to support reliable and auditable exchange of sensitive health information.</w:t>
      </w:r>
    </w:p>
    <w:bookmarkEnd w:id="17"/>
    <w:bookmarkStart w:id="18" w:name="simplhealth-auckland-new-zealand"/>
    <w:p>
      <w:pPr>
        <w:pStyle w:val="Heading3"/>
      </w:pPr>
      <w:r>
        <w:t xml:space="preserve">SimplHealth, Auckland, New Zealand</w:t>
      </w:r>
    </w:p>
    <w:p>
      <w:pPr>
        <w:pStyle w:val="FirstParagraph"/>
      </w:pPr>
      <w:r>
        <w:rPr>
          <w:b/>
          <w:bCs/>
        </w:rPr>
        <w:t xml:space="preserve">Senior DBA | Mar 2013 - Nov 2016</w:t>
      </w:r>
      <w:r>
        <w:t xml:space="preserve"> </w:t>
      </w:r>
      <w:r>
        <w:t xml:space="preserve">- Delivered database, HL7 integration, and reporting services for healthcare-aligned operations and management reporting.</w:t>
      </w:r>
      <w:r>
        <w:t xml:space="preserve"> </w:t>
      </w:r>
      <w:r>
        <w:t xml:space="preserve">- Built dependable SQL-based ETL pipelines and healthcare message processing flows for production-grade data processing and analytics.</w:t>
      </w:r>
      <w:r>
        <w:t xml:space="preserve"> </w:t>
      </w:r>
      <w:r>
        <w:t xml:space="preserve">- Served as principal DBA for a CDA-based long-term medical program launched by the New Zealand Ministry of Health.</w:t>
      </w:r>
    </w:p>
    <w:bookmarkEnd w:id="18"/>
    <w:bookmarkStart w:id="19"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Led large-scale data migration and system integration for enterprise transformation initiatives.</w:t>
      </w:r>
      <w:r>
        <w:t xml:space="preserve"> </w:t>
      </w:r>
      <w:r>
        <w:t xml:space="preserve">- Designed the target data platform and executed a large-scale council migration of property and rating, finance, and document datasets to a modern platform.</w:t>
      </w:r>
    </w:p>
    <w:bookmarkEnd w:id="19"/>
    <w:bookmarkStart w:id="20" w:name="X02905604a1057c4f073ab818bf9449804bf849e"/>
    <w:p>
      <w:pPr>
        <w:pStyle w:val="Heading3"/>
      </w:pPr>
      <w:r>
        <w:t xml:space="preserve">Northland District Health Board, New Zealand</w:t>
      </w:r>
    </w:p>
    <w:p>
      <w:pPr>
        <w:pStyle w:val="FirstParagraph"/>
      </w:pPr>
      <w:r>
        <w:rPr>
          <w:b/>
          <w:bCs/>
        </w:rPr>
        <w:t xml:space="preserve">DBA | 2003 - 2007</w:t>
      </w:r>
      <w:r>
        <w:t xml:space="preserve"> </w:t>
      </w:r>
      <w:r>
        <w:t xml:space="preserve">- Supported clinical system data migration, integration, and production reliability in a public healthcare setting.</w:t>
      </w:r>
      <w:r>
        <w:t xml:space="preserve"> </w:t>
      </w:r>
      <w:r>
        <w:t xml:space="preserve">- Improved legacy SQL environments to support secure and consistent data availability for frontline services.</w:t>
      </w:r>
    </w:p>
    <w:bookmarkEnd w:id="20"/>
    <w:bookmarkStart w:id="21" w:name="nations-trust-bank-sri-lanka"/>
    <w:p>
      <w:pPr>
        <w:pStyle w:val="Heading3"/>
      </w:pPr>
      <w:r>
        <w:t xml:space="preserve">Nations Trust Bank, Sri Lanka</w:t>
      </w:r>
    </w:p>
    <w:p>
      <w:pPr>
        <w:pStyle w:val="FirstParagraph"/>
      </w:pPr>
      <w:r>
        <w:rPr>
          <w:b/>
          <w:bCs/>
        </w:rPr>
        <w:t xml:space="preserve">Senior Manager, Information Technology | Sep 1999 - Mar 2003</w:t>
      </w:r>
      <w:r>
        <w:t xml:space="preserve"> </w:t>
      </w:r>
      <w:r>
        <w:t xml:space="preserve">- Led enterprise integration and infrastructure programs with strong delivery governance and risk controls.</w:t>
      </w:r>
      <w:r>
        <w:t xml:space="preserve"> </w:t>
      </w:r>
      <w:r>
        <w:t xml:space="preserve">- Delivered bank integration projects with MasterCard and core delivery channels, including Internet Banking, ATM Switch, and Telebanking.</w:t>
      </w:r>
      <w:r>
        <w:t xml:space="preserve"> </w:t>
      </w:r>
      <w:r>
        <w:t xml:space="preserve">- Managed and coordinated data migration from a legacy banking system to a modern platform.</w:t>
      </w:r>
    </w:p>
    <w:bookmarkEnd w:id="21"/>
    <w:bookmarkEnd w:id="22"/>
    <w:bookmarkStart w:id="23" w:name="education"/>
    <w:p>
      <w:pPr>
        <w:pStyle w:val="Heading2"/>
      </w:pPr>
      <w:r>
        <w:t xml:space="preserve">Education</w:t>
      </w:r>
    </w:p>
    <w:p>
      <w:pPr>
        <w:pStyle w:val="Compact"/>
        <w:numPr>
          <w:ilvl w:val="0"/>
          <w:numId w:val="1004"/>
        </w:numPr>
      </w:pPr>
      <w:r>
        <w:t xml:space="preserve">MSc in Computer Science (First Class Honors)</w:t>
      </w:r>
    </w:p>
    <w:p>
      <w:pPr>
        <w:pStyle w:val="Compact"/>
        <w:numPr>
          <w:ilvl w:val="0"/>
          <w:numId w:val="1004"/>
        </w:numPr>
      </w:pPr>
      <w:r>
        <w:t xml:space="preserve">Undergraduate studies in Computing and Information Technology disciplines</w:t>
      </w:r>
    </w:p>
    <w:p>
      <w:pPr>
        <w:pStyle w:val="Compact"/>
        <w:numPr>
          <w:ilvl w:val="0"/>
          <w:numId w:val="1004"/>
        </w:numPr>
      </w:pPr>
      <w:r>
        <w:t xml:space="preserve">A/L (Double Maths, Physics, Chemistry) - Ananda College</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2026-03-03T22:07:46Z</dcterms:created>
  <dcterms:modified xsi:type="dcterms:W3CDTF">2026-03-03T22:07:46Z</dcterms:modified>
</cp:coreProperties>
</file>

<file path=docProps/custom.xml><?xml version="1.0" encoding="utf-8"?>
<Properties xmlns="http://schemas.openxmlformats.org/officeDocument/2006/custom-properties" xmlns:vt="http://schemas.openxmlformats.org/officeDocument/2006/docPropsVTypes"/>
</file>