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head-of-data-and-integration"/>
    <w:p>
      <w:pPr>
        <w:pStyle w:val="Heading2"/>
      </w:pPr>
      <w:r>
        <w:t xml:space="preserve">Head of Data and Integration</w:t>
      </w:r>
    </w:p>
    <w:bookmarkEnd w:id="9"/>
    <w:bookmarkStart w:id="10" w:name="key-highlights"/>
    <w:p>
      <w:pPr>
        <w:pStyle w:val="Heading2"/>
      </w:pPr>
      <w:r>
        <w:t xml:space="preserve">Key Highlights</w:t>
      </w:r>
    </w:p>
    <w:p>
      <w:pPr>
        <w:pStyle w:val="Compact"/>
        <w:numPr>
          <w:ilvl w:val="0"/>
          <w:numId w:val="1001"/>
        </w:numPr>
      </w:pPr>
      <w:r>
        <w:t xml:space="preserve">Hands-on data architect and platform lead with 15+ years delivering scalable data architecture solutions for enterprise analytics, reporting, and operational decision-making.</w:t>
      </w:r>
    </w:p>
    <w:p>
      <w:pPr>
        <w:pStyle w:val="Compact"/>
        <w:numPr>
          <w:ilvl w:val="0"/>
          <w:numId w:val="1001"/>
        </w:numPr>
      </w:pPr>
      <w:r>
        <w:t xml:space="preserve">Designed and optimized conceptual, logical, and physical data models, data flows, and integration patterns across Azure, SQL Server, SSIS, and Microsoft Fabric environments.</w:t>
      </w:r>
    </w:p>
    <w:p>
      <w:pPr>
        <w:pStyle w:val="Compact"/>
        <w:numPr>
          <w:ilvl w:val="0"/>
          <w:numId w:val="1001"/>
        </w:numPr>
      </w:pPr>
      <w:r>
        <w:t xml:space="preserve">Established data standards, delivery guardrails, and reusable best practices to improve consistency, governance, and solution quality across data platforms.</w:t>
      </w:r>
    </w:p>
    <w:p>
      <w:pPr>
        <w:pStyle w:val="Compact"/>
        <w:numPr>
          <w:ilvl w:val="0"/>
          <w:numId w:val="1001"/>
        </w:numPr>
      </w:pPr>
      <w:r>
        <w:t xml:space="preserve">Worked closely with analysts, engineers, and business stakeholders to understand data requirements and guide practical solution design aligned to business objectives.</w:t>
      </w:r>
    </w:p>
    <w:p>
      <w:pPr>
        <w:pStyle w:val="Compact"/>
        <w:numPr>
          <w:ilvl w:val="0"/>
          <w:numId w:val="1001"/>
        </w:numPr>
      </w:pPr>
      <w:r>
        <w:t xml:space="preserve">Strengthened data quality, consistency, security, and platform reliability through validation controls, monitoring, alerting, and governance-led engineering standards.</w:t>
      </w:r>
    </w:p>
    <w:p>
      <w:pPr>
        <w:pStyle w:val="Compact"/>
        <w:numPr>
          <w:ilvl w:val="0"/>
          <w:numId w:val="1001"/>
        </w:numPr>
      </w:pPr>
      <w:r>
        <w:t xml:space="preserve">Evaluated and improved architecture for scalability, efficiency, and maintainability across cloud-based data platforms, data warehouses, and modern data stacks.</w:t>
      </w:r>
      <w:r>
        <w:t xml:space="preserve"> </w:t>
      </w:r>
      <w:r>
        <w:t xml:space="preserve">## Professional Summary</w:t>
      </w:r>
      <w:r>
        <w:t xml:space="preserve"> </w:t>
      </w:r>
      <w:r>
        <w:t xml:space="preserve">Strategic and hands-on data architect with 15+ years of experience designing and improving scalable data solutions in enterprise environments. Partners closely with analysts, engineers, architects, and business stakeholders to translate data requirements into practical solution designs aligned with business objectives and technology strategy. Brings strong capability across conceptual, logical, and physical data models, data warehousing, database design, ETL/ELT, APIs, integration patterns, and cloud-based data platforms including Microsoft Fabric, Azure, and SQL Server. Proven in establishing data standards, strengthening governance, lineage, security, and data quality practices, and improving data architecture for scalability, efficiency, and maintainability.</w:t>
      </w:r>
      <w:r>
        <w:t xml:space="preserve"> </w:t>
      </w:r>
      <w:r>
        <w:t xml:space="preserve">## Core Competencies</w:t>
      </w:r>
    </w:p>
    <w:p>
      <w:pPr>
        <w:pStyle w:val="Compact"/>
        <w:numPr>
          <w:ilvl w:val="0"/>
          <w:numId w:val="1001"/>
        </w:numPr>
      </w:pPr>
      <w:r>
        <w:t xml:space="preserve">Data Architecture and Scalable Solution Design</w:t>
      </w:r>
    </w:p>
    <w:p>
      <w:pPr>
        <w:pStyle w:val="Compact"/>
        <w:numPr>
          <w:ilvl w:val="0"/>
          <w:numId w:val="1001"/>
        </w:numPr>
      </w:pPr>
      <w:r>
        <w:t xml:space="preserve">Conceptual, Logical, and Physical Data Models</w:t>
      </w:r>
    </w:p>
    <w:p>
      <w:pPr>
        <w:pStyle w:val="Compact"/>
        <w:numPr>
          <w:ilvl w:val="0"/>
          <w:numId w:val="1001"/>
        </w:numPr>
      </w:pPr>
      <w:r>
        <w:t xml:space="preserve">Data Warehousing, Database Design, and Data Flows</w:t>
      </w:r>
    </w:p>
    <w:p>
      <w:pPr>
        <w:pStyle w:val="Compact"/>
        <w:numPr>
          <w:ilvl w:val="0"/>
          <w:numId w:val="1001"/>
        </w:numPr>
      </w:pPr>
      <w:r>
        <w:t xml:space="preserve">ETL/ELT, Integration Patterns, APIs, and Orchestration</w:t>
      </w:r>
    </w:p>
    <w:p>
      <w:pPr>
        <w:pStyle w:val="Compact"/>
        <w:numPr>
          <w:ilvl w:val="0"/>
          <w:numId w:val="1001"/>
        </w:numPr>
      </w:pPr>
      <w:r>
        <w:t xml:space="preserve">Data Standards, Policies, and Best Practices</w:t>
      </w:r>
    </w:p>
    <w:p>
      <w:pPr>
        <w:pStyle w:val="Compact"/>
        <w:numPr>
          <w:ilvl w:val="0"/>
          <w:numId w:val="1001"/>
        </w:numPr>
      </w:pPr>
      <w:r>
        <w:t xml:space="preserve">Business Requirements, Data Requirements, and Solution Design</w:t>
      </w:r>
    </w:p>
    <w:p>
      <w:pPr>
        <w:pStyle w:val="Compact"/>
        <w:numPr>
          <w:ilvl w:val="0"/>
          <w:numId w:val="1001"/>
        </w:numPr>
      </w:pPr>
      <w:r>
        <w:t xml:space="preserve">Data Quality, Consistency, Security, and Governance</w:t>
      </w:r>
    </w:p>
    <w:p>
      <w:pPr>
        <w:pStyle w:val="Compact"/>
        <w:numPr>
          <w:ilvl w:val="0"/>
          <w:numId w:val="1001"/>
        </w:numPr>
      </w:pPr>
      <w:r>
        <w:t xml:space="preserve">Cloud-Based Data Platforms, Data Warehouses, and Modern Data Stacks</w:t>
      </w:r>
    </w:p>
    <w:p>
      <w:pPr>
        <w:pStyle w:val="Compact"/>
        <w:numPr>
          <w:ilvl w:val="0"/>
          <w:numId w:val="1001"/>
        </w:numPr>
      </w:pPr>
      <w:r>
        <w:t xml:space="preserve">SQL, Microsoft Fabric, Azure, Synapse, and SQL Server</w:t>
      </w:r>
    </w:p>
    <w:p>
      <w:pPr>
        <w:pStyle w:val="Compact"/>
        <w:numPr>
          <w:ilvl w:val="0"/>
          <w:numId w:val="1001"/>
        </w:numPr>
      </w:pPr>
      <w:r>
        <w:t xml:space="preserve">Stakeholder Collaboration, Communication, and Technical Leadership</w:t>
      </w:r>
    </w:p>
    <w:p>
      <w:pPr>
        <w:pStyle w:val="Compact"/>
        <w:numPr>
          <w:ilvl w:val="0"/>
          <w:numId w:val="1001"/>
        </w:numPr>
      </w:pPr>
      <w:r>
        <w:t xml:space="preserve">Scalability, Efficiency, and Maintainability Improvements</w:t>
      </w:r>
      <w:r>
        <w:t xml:space="preserve"> </w:t>
      </w:r>
      <w:r>
        <w:t xml:space="preserve">## Technical Skills</w:t>
      </w:r>
    </w:p>
    <w:p>
      <w:pPr>
        <w:pStyle w:val="Compact"/>
        <w:numPr>
          <w:ilvl w:val="0"/>
          <w:numId w:val="1001"/>
        </w:numPr>
      </w:pPr>
      <w:r>
        <w:t xml:space="preserve">Power BI: DAX, Power Query, dataflows, semantic models, calculation groups, deployment pipelines, performance tuning</w:t>
      </w:r>
    </w:p>
    <w:p>
      <w:pPr>
        <w:pStyle w:val="Compact"/>
        <w:numPr>
          <w:ilvl w:val="0"/>
          <w:numId w:val="1001"/>
        </w:numPr>
      </w:pPr>
      <w:r>
        <w:t xml:space="preserve">SQL Server: T-SQL, SSIS, SSAS, stored procedures, performance optimization</w:t>
      </w:r>
    </w:p>
    <w:p>
      <w:pPr>
        <w:pStyle w:val="Compact"/>
        <w:numPr>
          <w:ilvl w:val="0"/>
          <w:numId w:val="1001"/>
        </w:numPr>
      </w:pPr>
      <w:r>
        <w:t xml:space="preserve">Data Engineering: ETL/ELT, Azure Data Factory, SSIS, SQL, Python automation</w:t>
      </w:r>
    </w:p>
    <w:p>
      <w:pPr>
        <w:pStyle w:val="Compact"/>
        <w:numPr>
          <w:ilvl w:val="0"/>
          <w:numId w:val="1001"/>
        </w:numPr>
      </w:pPr>
      <w:r>
        <w:t xml:space="preserve">Data Warehousing: Dimensional modeling, fact tables, slowly changing dimensions, medallion architecture</w:t>
      </w:r>
    </w:p>
    <w:p>
      <w:pPr>
        <w:pStyle w:val="Compact"/>
        <w:numPr>
          <w:ilvl w:val="0"/>
          <w:numId w:val="1001"/>
        </w:numPr>
      </w:pPr>
      <w:r>
        <w:t xml:space="preserve">Cloud and Platforms: Microsoft Azure, Azure SQL, Azure Synapse, Microsoft Fabric, Event Hub</w:t>
      </w:r>
    </w:p>
    <w:p>
      <w:pPr>
        <w:pStyle w:val="Compact"/>
        <w:numPr>
          <w:ilvl w:val="0"/>
          <w:numId w:val="1001"/>
        </w:numPr>
      </w:pPr>
      <w:r>
        <w:t xml:space="preserve">Integration: API integration, REST/SOAP web services, middleware and enterprise data flow design</w:t>
      </w:r>
    </w:p>
    <w:p>
      <w:pPr>
        <w:pStyle w:val="Compact"/>
        <w:numPr>
          <w:ilvl w:val="0"/>
          <w:numId w:val="1001"/>
        </w:numPr>
      </w:pPr>
      <w:r>
        <w:t xml:space="preserve">Governance and Operations: Data quality monitoring and alerting, metadata and lineage controls, lifecycle and retention practices</w:t>
      </w:r>
    </w:p>
    <w:bookmarkEnd w:id="10"/>
    <w:bookmarkStart w:id="20" w:name="professional-experience"/>
    <w:p>
      <w:pPr>
        <w:pStyle w:val="Heading2"/>
      </w:pPr>
      <w:r>
        <w:t xml:space="preserve">Professional Experience</w:t>
      </w:r>
    </w:p>
    <w:bookmarkStart w:id="11"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1"/>
    <w:bookmarkStart w:id="12"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2"/>
    <w:bookmarkStart w:id="13"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3"/>
    <w:bookmarkStart w:id="14"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4"/>
    <w:bookmarkStart w:id="15"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5"/>
    <w:bookmarkStart w:id="16"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6"/>
    <w:bookmarkStart w:id="17"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17"/>
    <w:bookmarkStart w:id="18"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18"/>
    <w:bookmarkStart w:id="19"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19"/>
    <w:bookmarkEnd w:id="20"/>
    <w:bookmarkStart w:id="21" w:name="role-alignment"/>
    <w:p>
      <w:pPr>
        <w:pStyle w:val="Heading2"/>
      </w:pPr>
      <w:r>
        <w:t xml:space="preserve">Role Alignment</w:t>
      </w:r>
    </w:p>
    <w:p>
      <w:pPr>
        <w:pStyle w:val="Compact"/>
        <w:numPr>
          <w:ilvl w:val="0"/>
          <w:numId w:val="1002"/>
        </w:numPr>
      </w:pPr>
      <w:r>
        <w:t xml:space="preserve">Experienced in project-based environments requiring strong data governance, integration discipline, and measurable operational outcomes.</w:t>
      </w:r>
    </w:p>
    <w:p>
      <w:pPr>
        <w:pStyle w:val="Compact"/>
        <w:numPr>
          <w:ilvl w:val="0"/>
          <w:numId w:val="1002"/>
        </w:numPr>
      </w:pPr>
      <w:r>
        <w:t xml:space="preserve">Strong fit for senior individual contributor leadership roles reporting to executive stakeholders.</w:t>
      </w:r>
    </w:p>
    <w:p>
      <w:pPr>
        <w:pStyle w:val="Compact"/>
        <w:numPr>
          <w:ilvl w:val="0"/>
          <w:numId w:val="1002"/>
        </w:numPr>
      </w:pPr>
      <w:r>
        <w:t xml:space="preserve">Familiar with Australian data privacy and sovereignty expectations and governance-led data delivery approaches.</w:t>
      </w:r>
    </w:p>
    <w:p>
      <w:pPr>
        <w:pStyle w:val="Compact"/>
        <w:numPr>
          <w:ilvl w:val="0"/>
          <w:numId w:val="1002"/>
        </w:numPr>
      </w:pPr>
      <w:r>
        <w:t xml:space="preserve">Ready to lead integration across complex core business systems in CRM, Finance, HR/Payroll, and business applications.</w:t>
      </w:r>
    </w:p>
    <w:p>
      <w:pPr>
        <w:pStyle w:val="Compact"/>
        <w:numPr>
          <w:ilvl w:val="0"/>
          <w:numId w:val="1002"/>
        </w:numPr>
      </w:pPr>
      <w:r>
        <w:t xml:space="preserve">Early-career intelligent building technology delivery and long-term enterprise platform work provide transferable capability for construction and property-focused data environments.</w:t>
      </w:r>
    </w:p>
    <w:bookmarkEnd w:id="21"/>
    <w:bookmarkStart w:id="22" w:name="education"/>
    <w:p>
      <w:pPr>
        <w:pStyle w:val="Heading2"/>
      </w:pPr>
      <w:r>
        <w:t xml:space="preserve">Education</w:t>
      </w:r>
    </w:p>
    <w:p>
      <w:pPr>
        <w:pStyle w:val="Compact"/>
        <w:numPr>
          <w:ilvl w:val="0"/>
          <w:numId w:val="1003"/>
        </w:numPr>
      </w:pPr>
      <w:r>
        <w:t xml:space="preserve">MSc in Computer Science (First Class Honors)</w:t>
      </w:r>
    </w:p>
    <w:p>
      <w:pPr>
        <w:pStyle w:val="Compact"/>
        <w:numPr>
          <w:ilvl w:val="0"/>
          <w:numId w:val="1003"/>
        </w:numPr>
      </w:pPr>
      <w:r>
        <w:t xml:space="preserve">A/L (Double Maths, Physics, Chemistry) - Ananda College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2026-03-10T13:17:51Z</dcterms:created>
  <dcterms:modified xsi:type="dcterms:W3CDTF">2026-03-10T13:17:51Z</dcterms:modified>
</cp:coreProperties>
</file>

<file path=docProps/custom.xml><?xml version="1.0" encoding="utf-8"?>
<Properties xmlns="http://schemas.openxmlformats.org/officeDocument/2006/custom-properties" xmlns:vt="http://schemas.openxmlformats.org/officeDocument/2006/docPropsVTypes"/>
</file>