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15b74c731119d7ac69631490546a16f74c83b4"/>
    <w:p>
      <w:pPr>
        <w:pStyle w:val="Heading1"/>
      </w:pPr>
      <w:r>
        <w:t xml:space="preserve">Interview Response - First 30/60/90 Days (Senior Data Architect)</w:t>
      </w:r>
    </w:p>
    <w:bookmarkStart w:id="9" w:name="first-30-days-understand-and-align"/>
    <w:p>
      <w:pPr>
        <w:pStyle w:val="Heading2"/>
      </w:pPr>
      <w:r>
        <w:t xml:space="preserve">First 30 days (Understand and align)</w:t>
      </w:r>
    </w:p>
    <w:p>
      <w:pPr>
        <w:pStyle w:val="Compact"/>
        <w:numPr>
          <w:ilvl w:val="0"/>
          <w:numId w:val="1001"/>
        </w:numPr>
      </w:pPr>
      <w:r>
        <w:t xml:space="preserve">Meet key stakeholders: Director of Architecture, EMR/HIE leads, clinical, finance, operations, security, and data teams.</w:t>
      </w:r>
    </w:p>
    <w:p>
      <w:pPr>
        <w:pStyle w:val="Compact"/>
        <w:numPr>
          <w:ilvl w:val="0"/>
          <w:numId w:val="1001"/>
        </w:numPr>
      </w:pPr>
      <w:r>
        <w:t xml:space="preserve">Review current-state architecture, integrations, data models, and reporting flows across on-prem and Azure/Fabric.</w:t>
      </w:r>
    </w:p>
    <w:p>
      <w:pPr>
        <w:pStyle w:val="Compact"/>
        <w:numPr>
          <w:ilvl w:val="0"/>
          <w:numId w:val="1001"/>
        </w:numPr>
      </w:pPr>
      <w:r>
        <w:t xml:space="preserve">Assess governance maturity: data quality, metadata, lineage, standards, privacy/security controls.</w:t>
      </w:r>
    </w:p>
    <w:p>
      <w:pPr>
        <w:pStyle w:val="Compact"/>
        <w:numPr>
          <w:ilvl w:val="0"/>
          <w:numId w:val="1001"/>
        </w:numPr>
      </w:pPr>
      <w:r>
        <w:t xml:space="preserve">Deliverables: current-state assessment, risk/issues log, and prioritized 90-day architecture backlog.</w:t>
      </w:r>
    </w:p>
    <w:bookmarkEnd w:id="9"/>
    <w:bookmarkStart w:id="10" w:name="days-31-60-design-and-prove"/>
    <w:p>
      <w:pPr>
        <w:pStyle w:val="Heading2"/>
      </w:pPr>
      <w:r>
        <w:t xml:space="preserve">Days 31-60 (Design and prove)</w:t>
      </w:r>
    </w:p>
    <w:p>
      <w:pPr>
        <w:pStyle w:val="Compact"/>
        <w:numPr>
          <w:ilvl w:val="0"/>
          <w:numId w:val="1002"/>
        </w:numPr>
      </w:pPr>
      <w:r>
        <w:t xml:space="preserve">Define target-state data architecture for HIE + financial/operational reporting (Fabric/OneLake, medallion, star/snowflake where needed).</w:t>
      </w:r>
    </w:p>
    <w:p>
      <w:pPr>
        <w:pStyle w:val="Compact"/>
        <w:numPr>
          <w:ilvl w:val="0"/>
          <w:numId w:val="1002"/>
        </w:numPr>
      </w:pPr>
      <w:r>
        <w:t xml:space="preserve">Publish core artefacts: conceptual/logical model, integration patterns, migration patterns, and architecture principles.</w:t>
      </w:r>
    </w:p>
    <w:p>
      <w:pPr>
        <w:pStyle w:val="Compact"/>
        <w:numPr>
          <w:ilvl w:val="0"/>
          <w:numId w:val="1002"/>
        </w:numPr>
      </w:pPr>
      <w:r>
        <w:t xml:space="preserve">Stand up governance working model: data ownership, stewardship, standards, and architecture review cadence.</w:t>
      </w:r>
    </w:p>
    <w:p>
      <w:pPr>
        <w:pStyle w:val="Compact"/>
        <w:numPr>
          <w:ilvl w:val="0"/>
          <w:numId w:val="1002"/>
        </w:numPr>
      </w:pPr>
      <w:r>
        <w:t xml:space="preserve">Deliverables: target architecture blueprint, standards pack, and 2-3 quick-win initiatives approved.</w:t>
      </w:r>
    </w:p>
    <w:bookmarkEnd w:id="10"/>
    <w:bookmarkStart w:id="11" w:name="days-61-90-execute-and-embed"/>
    <w:p>
      <w:pPr>
        <w:pStyle w:val="Heading2"/>
      </w:pPr>
      <w:r>
        <w:t xml:space="preserve">Days 61-90 (Execute and embed)</w:t>
      </w:r>
    </w:p>
    <w:p>
      <w:pPr>
        <w:pStyle w:val="Compact"/>
        <w:numPr>
          <w:ilvl w:val="0"/>
          <w:numId w:val="1003"/>
        </w:numPr>
      </w:pPr>
      <w:r>
        <w:t xml:space="preserve">Start implementation of priority components (high-value integrations, critical data products, and quality controls).</w:t>
      </w:r>
    </w:p>
    <w:p>
      <w:pPr>
        <w:pStyle w:val="Compact"/>
        <w:numPr>
          <w:ilvl w:val="0"/>
          <w:numId w:val="1003"/>
        </w:numPr>
      </w:pPr>
      <w:r>
        <w:t xml:space="preserve">Run architecture governance forums and support delivery teams with design decisions and risk mitigation.</w:t>
      </w:r>
    </w:p>
    <w:p>
      <w:pPr>
        <w:pStyle w:val="Compact"/>
        <w:numPr>
          <w:ilvl w:val="0"/>
          <w:numId w:val="1003"/>
        </w:numPr>
      </w:pPr>
      <w:r>
        <w:t xml:space="preserve">Establish measurable KPIs: data quality, latency, interoperability reliability, and reporting performance.</w:t>
      </w:r>
    </w:p>
    <w:p>
      <w:pPr>
        <w:pStyle w:val="Compact"/>
        <w:numPr>
          <w:ilvl w:val="0"/>
          <w:numId w:val="1003"/>
        </w:numPr>
      </w:pPr>
      <w:r>
        <w:t xml:space="preserve">Deliverables: first production-ready architecture outcomes, roadmap for next 2 quarters, and handover cadence to BAU teams.</w:t>
      </w:r>
    </w:p>
    <w:bookmarkEnd w:id="11"/>
    <w:bookmarkStart w:id="12" w:name="optional-60-second-version"/>
    <w:p>
      <w:pPr>
        <w:pStyle w:val="Heading2"/>
      </w:pPr>
      <w:r>
        <w:t xml:space="preserve">Optional 60-second version</w:t>
      </w:r>
    </w:p>
    <w:p>
      <w:pPr>
        <w:pStyle w:val="FirstParagraph"/>
      </w:pPr>
      <w:r>
        <w:t xml:space="preserve">In my first 30 days, I would focus on stakeholder alignment and a clear current-state assessment across HIE, EMR, reporting, and governance controls. By day 60, I would have a target-state architecture and standards pack in place, plus a prioritized set of quick wins approved by governance. By day 90, I would aim to have initial architecture components in delivery, governance forums operating effectively, and measurable KPIs in place for data quality, interoperability reliability, and reporting performance.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2026-03-03T12:19:20Z</dcterms:created>
  <dcterms:modified xsi:type="dcterms:W3CDTF">2026-03-03T12:19:20Z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