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remote and hybrid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3cfd6081cef32462febc8da77468b4830e615e2"/>
    <w:p>
      <w:pPr>
        <w:pStyle w:val="Heading2"/>
      </w:pPr>
      <w:r>
        <w:t xml:space="preserve">Founding Commercial Strategy and Analytics Lead (Data and Health)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delivering data, analytics, and platform outcomes across healthcare, finance, and regulated environments.</w:t>
      </w:r>
    </w:p>
    <w:p>
      <w:pPr>
        <w:pStyle w:val="Compact"/>
        <w:numPr>
          <w:ilvl w:val="0"/>
          <w:numId w:val="1001"/>
        </w:numPr>
      </w:pPr>
      <w:r>
        <w:t xml:space="preserve">Proven track record building capability from early-stage foundations and greenfield setups to enterprise-scale operating models.</w:t>
      </w:r>
    </w:p>
    <w:p>
      <w:pPr>
        <w:pStyle w:val="Compact"/>
        <w:numPr>
          <w:ilvl w:val="0"/>
          <w:numId w:val="1001"/>
        </w:numPr>
      </w:pPr>
      <w:r>
        <w:t xml:space="preserve">Experienced designing strategy-led roadmaps, including 3-year roadmap planning, aligned to measurable commercial outcomes.</w:t>
      </w:r>
    </w:p>
    <w:p>
      <w:pPr>
        <w:pStyle w:val="Compact"/>
        <w:numPr>
          <w:ilvl w:val="0"/>
          <w:numId w:val="1001"/>
        </w:numPr>
      </w:pPr>
      <w:r>
        <w:t xml:space="preserve">Strong at translating policy and service priorities into data-driven commercial initiatives that improve customer and business outcomes.</w:t>
      </w:r>
    </w:p>
    <w:p>
      <w:pPr>
        <w:pStyle w:val="Compact"/>
        <w:numPr>
          <w:ilvl w:val="0"/>
          <w:numId w:val="1001"/>
        </w:numPr>
      </w:pPr>
      <w:r>
        <w:t xml:space="preserve">Trusted partner to senior leadership, with practical influence across finance, clinical, product, and technology stakeholders.</w:t>
      </w:r>
    </w:p>
    <w:p>
      <w:pPr>
        <w:pStyle w:val="Compact"/>
        <w:numPr>
          <w:ilvl w:val="0"/>
          <w:numId w:val="1001"/>
        </w:numPr>
      </w:pPr>
      <w:r>
        <w:t xml:space="preserve">Experienced in securing investment support through clear business cases, prioritisation frameworks, and delivery sequencing.</w:t>
      </w:r>
    </w:p>
    <w:p>
      <w:pPr>
        <w:pStyle w:val="Compact"/>
        <w:numPr>
          <w:ilvl w:val="0"/>
          <w:numId w:val="1001"/>
        </w:numPr>
      </w:pPr>
      <w:r>
        <w:t xml:space="preserve">Built modern Azure and Microsoft Fabric data platforms from on-prem to cloud, including lakehouse, semantic, and reporting layers.</w:t>
      </w:r>
    </w:p>
    <w:p>
      <w:pPr>
        <w:pStyle w:val="Compact"/>
        <w:numPr>
          <w:ilvl w:val="0"/>
          <w:numId w:val="1001"/>
        </w:numPr>
      </w:pPr>
      <w:r>
        <w:t xml:space="preserve">Built and scaled analytics function capability through operating model design, governance standards, and team uplift.</w:t>
      </w:r>
    </w:p>
    <w:p>
      <w:pPr>
        <w:pStyle w:val="Compact"/>
        <w:numPr>
          <w:ilvl w:val="0"/>
          <w:numId w:val="1001"/>
        </w:numPr>
      </w:pPr>
      <w:r>
        <w:t xml:space="preserve">Established governance, quality, lineage, and privacy controls to support reliable decision-making and investment confidence.</w:t>
      </w:r>
    </w:p>
    <w:p>
      <w:pPr>
        <w:pStyle w:val="Compact"/>
        <w:numPr>
          <w:ilvl w:val="0"/>
          <w:numId w:val="1001"/>
        </w:numPr>
      </w:pPr>
      <w:r>
        <w:t xml:space="preserve">Passionate about greenfield opportunities that combine strategic ownership, hands-on execution, and long-term team building.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Strategic data and analytics leader with 15+ years of experience across Australia and New Zealand, with deep delivery in healthcare and regulated settings. Brings a practical blend of commercial strategy, data architecture, and execution leadership, with a strong track record of building capabilities from the ground up. Experienced defining target operating models, creating multi-year roadmaps, and turning complex policy and business priorities into actionable, data-driven commercial initiatives. Strong partner to senior leadership across finance, clinical, product, and technology teams, with hands-on expertise in Azure and Microsoft Fabric platforms, governance, and scalable analytics delivery. Well positioned to operate as 2IC to a Head of Data, build from zero where required, and shape a high-impact analytics function that supports better customer health navigation and sustained commercial outcomes. Highly motivated by founding-style roles where strategy, modern technology, and meaningful health impact come together.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Greenfield Function Build and Operating Model Design</w:t>
      </w:r>
    </w:p>
    <w:p>
      <w:pPr>
        <w:pStyle w:val="Compact"/>
        <w:numPr>
          <w:ilvl w:val="0"/>
          <w:numId w:val="1002"/>
        </w:numPr>
      </w:pPr>
      <w:r>
        <w:t xml:space="preserve">Commercial Strategy and Analytics Roadmap Development</w:t>
      </w:r>
    </w:p>
    <w:p>
      <w:pPr>
        <w:pStyle w:val="Compact"/>
        <w:numPr>
          <w:ilvl w:val="0"/>
          <w:numId w:val="1002"/>
        </w:numPr>
      </w:pPr>
      <w:r>
        <w:t xml:space="preserve">Data-Driven Initiative Prioritisation and Delivery Sequencing</w:t>
      </w:r>
    </w:p>
    <w:p>
      <w:pPr>
        <w:pStyle w:val="Compact"/>
        <w:numPr>
          <w:ilvl w:val="0"/>
          <w:numId w:val="1002"/>
        </w:numPr>
      </w:pPr>
      <w:r>
        <w:t xml:space="preserve">Senior Stakeholder Influence and Cross-Functional Partnership</w:t>
      </w:r>
    </w:p>
    <w:p>
      <w:pPr>
        <w:pStyle w:val="Compact"/>
        <w:numPr>
          <w:ilvl w:val="0"/>
          <w:numId w:val="1002"/>
        </w:numPr>
      </w:pPr>
      <w:r>
        <w:t xml:space="preserve">Finance, Clinical, Product, and Technology Alignment</w:t>
      </w:r>
    </w:p>
    <w:p>
      <w:pPr>
        <w:pStyle w:val="Compact"/>
        <w:numPr>
          <w:ilvl w:val="0"/>
          <w:numId w:val="1002"/>
        </w:numPr>
      </w:pPr>
      <w:r>
        <w:t xml:space="preserve">Enterprise Data Architecture and Modern Platform Strategy</w:t>
      </w:r>
    </w:p>
    <w:p>
      <w:pPr>
        <w:pStyle w:val="Compact"/>
        <w:numPr>
          <w:ilvl w:val="0"/>
          <w:numId w:val="1002"/>
        </w:numPr>
      </w:pPr>
      <w:r>
        <w:t xml:space="preserve">Microsoft Azure and Microsoft Fabric (OneLake/Lakehouse) Delivery</w:t>
      </w:r>
    </w:p>
    <w:p>
      <w:pPr>
        <w:pStyle w:val="Compact"/>
        <w:numPr>
          <w:ilvl w:val="0"/>
          <w:numId w:val="1002"/>
        </w:numPr>
      </w:pPr>
      <w:r>
        <w:t xml:space="preserve">Data Governance, Quality, Metadata, and Lineage Controls</w:t>
      </w:r>
    </w:p>
    <w:p>
      <w:pPr>
        <w:pStyle w:val="Compact"/>
        <w:numPr>
          <w:ilvl w:val="0"/>
          <w:numId w:val="1002"/>
        </w:numPr>
      </w:pPr>
      <w:r>
        <w:t xml:space="preserve">Data Migration (On-Prem to Cloud) and Scalable Integration Patterns</w:t>
      </w:r>
    </w:p>
    <w:p>
      <w:pPr>
        <w:pStyle w:val="Compact"/>
        <w:numPr>
          <w:ilvl w:val="0"/>
          <w:numId w:val="1002"/>
        </w:numPr>
      </w:pPr>
      <w:r>
        <w:t xml:space="preserve">Team Capability Build, Mentoring, and Leadership Growth</w:t>
      </w:r>
    </w:p>
    <w:p>
      <w:pPr>
        <w:pStyle w:val="Compact"/>
        <w:numPr>
          <w:ilvl w:val="0"/>
          <w:numId w:val="1002"/>
        </w:numPr>
      </w:pPr>
      <w:r>
        <w:t xml:space="preserve">Risk Management, Decision Support, and Continuous Improvement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Strategy and Planning: Commercial data playbooks, multi-year roadmap planning, prioritisation frameworks</w:t>
      </w:r>
    </w:p>
    <w:p>
      <w:pPr>
        <w:pStyle w:val="Compact"/>
        <w:numPr>
          <w:ilvl w:val="0"/>
          <w:numId w:val="1003"/>
        </w:numPr>
      </w:pPr>
      <w:r>
        <w:t xml:space="preserve">Platforms: Microsoft Azure, Microsoft Fabric, OneLake, DeltaLake, Lakehouse, Azure SQL, Azure Synapse, SQL Server</w:t>
      </w:r>
    </w:p>
    <w:p>
      <w:pPr>
        <w:pStyle w:val="Compact"/>
        <w:numPr>
          <w:ilvl w:val="0"/>
          <w:numId w:val="1003"/>
        </w:numPr>
      </w:pPr>
      <w:r>
        <w:t xml:space="preserve">Data Architecture: Enterprise blueprinting, conceptual/logical/physical modelling, dimensional and semantic modelling</w:t>
      </w:r>
    </w:p>
    <w:p>
      <w:pPr>
        <w:pStyle w:val="Compact"/>
        <w:numPr>
          <w:ilvl w:val="0"/>
          <w:numId w:val="1003"/>
        </w:numPr>
      </w:pPr>
      <w:r>
        <w:t xml:space="preserve">Data Engineering: ETL/ELT patterns, orchestration, integration design, quality controls, performance optimisation</w:t>
      </w:r>
    </w:p>
    <w:p>
      <w:pPr>
        <w:pStyle w:val="Compact"/>
        <w:numPr>
          <w:ilvl w:val="0"/>
          <w:numId w:val="1003"/>
        </w:numPr>
      </w:pPr>
      <w:r>
        <w:t xml:space="preserve">Governance: Data governance frameworks, metadata standards, lineage, stewardship, policy and control design</w:t>
      </w:r>
    </w:p>
    <w:p>
      <w:pPr>
        <w:pStyle w:val="Compact"/>
        <w:numPr>
          <w:ilvl w:val="0"/>
          <w:numId w:val="1003"/>
        </w:numPr>
      </w:pPr>
      <w:r>
        <w:t xml:space="preserve">Security and Privacy: OAuth2, SAML, TLS, GDPR, Australian Privacy Principles-aligned controls</w:t>
      </w:r>
    </w:p>
    <w:p>
      <w:pPr>
        <w:pStyle w:val="Compact"/>
        <w:numPr>
          <w:ilvl w:val="0"/>
          <w:numId w:val="1003"/>
        </w:numPr>
      </w:pPr>
      <w:r>
        <w:t xml:space="preserve">Analytics: Power BI, DAX, Power Query, enterprise reporting and decision-support architecture</w:t>
      </w:r>
    </w:p>
    <w:bookmarkEnd w:id="13"/>
    <w:bookmarkStart w:id="22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architecture and platform direction across regulated data domains, aligning solutions to security, quality, and governance standards.</w:t>
      </w:r>
      <w:r>
        <w:t xml:space="preserve"> </w:t>
      </w:r>
      <w:r>
        <w:t xml:space="preserve">- Defined Microsoft Fabric architecture blueprint patterns for ingestion, transformation, and consumption layers aligned to OneLake and medallion architecture.</w:t>
      </w:r>
      <w:r>
        <w:t xml:space="preserve"> </w:t>
      </w:r>
      <w:r>
        <w:t xml:space="preserve">- Produced architecture artefacts including technical design inputs, integration plans, and delivery guidance for implementation teams.</w:t>
      </w:r>
      <w:r>
        <w:t xml:space="preserve"> </w:t>
      </w:r>
      <w:r>
        <w:t xml:space="preserve">- Established cross-team governance practices for metadata ownership, lineage visibility, data quality controls, and operational reliability.</w:t>
      </w:r>
      <w:r>
        <w:t xml:space="preserve"> </w:t>
      </w:r>
      <w:r>
        <w:t xml:space="preserve">- Partnered with architecture and delivery teams in iterative ways of working to accelerate delivery and reduce design rework.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enterprise data architecture across 250+ sites for healthcare billing, financial, and operational reporting domains.</w:t>
      </w:r>
      <w:r>
        <w:t xml:space="preserve"> </w:t>
      </w:r>
      <w:r>
        <w:t xml:space="preserve">- Designed conceptual, logical, and physical data models supporting scalable analytics and consistent data definitions.</w:t>
      </w:r>
      <w:r>
        <w:t xml:space="preserve"> </w:t>
      </w:r>
      <w:r>
        <w:t xml:space="preserve">- Delivered Azure-to-Fabric-aligned migration patterns from legacy data warehouse estates to modern cloud architecture.</w:t>
      </w:r>
      <w:r>
        <w:t xml:space="preserve"> </w:t>
      </w:r>
      <w:r>
        <w:t xml:space="preserve">- Standardised dimensional modelling patterns (star and snowflake) and improved model performance for executive and operational reporting.</w:t>
      </w:r>
      <w:r>
        <w:t xml:space="preserve"> </w:t>
      </w:r>
      <w:r>
        <w:t xml:space="preserve">- Implemented governance controls for metadata, lineage, privacy obligations, and data quality monitoring across business-critical datasets.</w:t>
      </w:r>
      <w:r>
        <w:t xml:space="preserve"> </w:t>
      </w:r>
      <w:r>
        <w:t xml:space="preserve">- Collaborated with stakeholders to define interoperable integration patterns that improved consistency and timeliness of enterprise reporting.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reliability, performance, and resilience of enterprise SQL Server platforms under strict service and governance requirements.</w:t>
      </w:r>
      <w:r>
        <w:t xml:space="preserve"> </w:t>
      </w:r>
      <w:r>
        <w:t xml:space="preserve">- Supported secure platform operations and integration delivery for healthcare-aligned systems.</w:t>
      </w:r>
      <w:r>
        <w:t xml:space="preserve"> </w:t>
      </w:r>
      <w:r>
        <w:t xml:space="preserve">- Drove performance and stability improvements across two large data warehouses.</w:t>
      </w:r>
      <w:r>
        <w:t xml:space="preserve"> </w:t>
      </w:r>
      <w:r>
        <w:t xml:space="preserve">- Strengthened security and governance controls for patient-centric data.</w:t>
      </w:r>
      <w:r>
        <w:t xml:space="preserve"> </w:t>
      </w:r>
      <w:r>
        <w:t xml:space="preserve">- Played a major role in reducing operational costs across the data ecosystem.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high-availability, regulated health environment.</w:t>
      </w:r>
      <w:r>
        <w:t xml:space="preserve"> </w:t>
      </w:r>
      <w:r>
        <w:t xml:space="preserve">- Designed, supported, and troubleshot HL7 message integrations for health data exchange between clinical systems and partner platforms.</w:t>
      </w:r>
      <w:r>
        <w:t xml:space="preserve"> </w:t>
      </w:r>
      <w:r>
        <w:t xml:space="preserve">- Led migration of 8 TB SQL Server workloads to Azure with phased validation, controlled cutover, and continuity planning.</w:t>
      </w:r>
      <w:r>
        <w:t xml:space="preserve"> </w:t>
      </w:r>
      <w:r>
        <w:t xml:space="preserve">- Strengthened security and operational controls to support reliable and auditable exchange of sensitive health information.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database, HL7 integration, and reporting services for healthcare-aligned operations and management reporting.</w:t>
      </w:r>
      <w:r>
        <w:t xml:space="preserve"> </w:t>
      </w:r>
      <w:r>
        <w:t xml:space="preserve">- Built dependable SQL-based ETL pipelines and healthcare message processing flows for production-grade data processing and analytics.</w:t>
      </w:r>
      <w:r>
        <w:t xml:space="preserve"> </w:t>
      </w:r>
      <w:r>
        <w:t xml:space="preserve">- Served as principal DBA for a CDA-based long-term medical program launched by the New Zealand Ministry of Health.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large-scale data migration and system integration for enterprise transformation initiatives.</w:t>
      </w:r>
      <w:r>
        <w:t xml:space="preserve"> </w:t>
      </w:r>
      <w:r>
        <w:t xml:space="preserve">- Designed the target data platform and executed a large-scale council migration of property and rating, finance, and document datasets to a modern platform.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Supported clinical system data migration, integration, and production reliability in a public healthcare setting.</w:t>
      </w:r>
      <w:r>
        <w:t xml:space="preserve"> </w:t>
      </w:r>
      <w:r>
        <w:t xml:space="preserve">- Improved legacy SQL environments to support secure and consistent data availability for frontline services.</w:t>
      </w:r>
    </w:p>
    <w:bookmarkEnd w:id="20"/>
    <w:bookmarkStart w:id="21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Led enterprise integration and infrastructure programs with strong delivery governance and risk controls.</w:t>
      </w:r>
      <w:r>
        <w:t xml:space="preserve"> </w:t>
      </w:r>
      <w:r>
        <w:t xml:space="preserve">- Delivered bank integration projects with MasterCard and core delivery channels, including Internet Banking, ATM Switch, and Telebanking.</w:t>
      </w:r>
      <w:r>
        <w:t xml:space="preserve"> </w:t>
      </w:r>
      <w:r>
        <w:t xml:space="preserve">- Managed and coordinated data migration from a legacy banking system to a modern platform.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Undergraduate studies in Computing and Information Technology disciplines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2026-03-10T12:38:40Z</dcterms:created>
  <dcterms:modified xsi:type="dcterms:W3CDTF">2026-03-10T12:38:40Z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