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320" w:line="276" w:lineRule="auto"/>
        <w:rPr>
          <w:rFonts w:ascii="Arial" w:cs="Arial" w:eastAsia="Arial" w:hAnsi="Arial"/>
          <w:b w:val="1"/>
          <w:bCs w:val="1"/>
          <w:color w:val="434343"/>
        </w:rPr>
      </w:pPr>
      <w:bookmarkStart w:colFirst="0" w:colLast="0" w:name="_ita2iu6x9hxj" w:id="0"/>
      <w:bookmarkEnd w:id="0"/>
      <w:r w:rsidDel="00000000" w:rsidR="00000000" w:rsidRPr="00000000">
        <w:rPr>
          <w:rFonts w:ascii="Arial" w:cs="Arial" w:eastAsia="Arial" w:hAnsi="Arial"/>
          <w:b w:val="1"/>
          <w:bCs w:val="1"/>
          <w:color w:val="434343"/>
          <w:rtl w:val="0"/>
        </w:rPr>
        <w:t xml:space="preserve">About Sanro Health</w:t>
      </w:r>
    </w:p>
    <w:p w:rsidR="00000000" w:rsidDel="00000000" w:rsidP="00000000" w:rsidRDefault="00000000" w:rsidRPr="00000000" w14:paraId="00000002">
      <w:pPr>
        <w:spacing w:after="240" w:before="24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Sanro Health is a clinician-founded health-technology company transforming how retina clinics identify and screen patients for clinical trials. Our platform, Sanro Optimizer, connects EHR and imaging data to surface patients who may be relevant for research and supports faster, more precise recruitment. That is just the beginning.</w:t>
      </w:r>
    </w:p>
    <w:p w:rsidR="00000000" w:rsidDel="00000000" w:rsidP="00000000" w:rsidRDefault="00000000" w:rsidRPr="00000000" w14:paraId="00000003">
      <w:pPr>
        <w:spacing w:after="240" w:before="240" w:line="276" w:lineRule="auto"/>
        <w:rPr>
          <w:rFonts w:ascii="Arial" w:cs="Arial" w:eastAsia="Arial" w:hAnsi="Arial"/>
          <w:b w:val="1"/>
          <w:bCs w:val="1"/>
          <w:sz w:val="22"/>
          <w:szCs w:val="22"/>
          <w:u w:val="single"/>
        </w:rPr>
      </w:pPr>
      <w:r w:rsidDel="00000000" w:rsidR="00000000" w:rsidRPr="00000000">
        <w:rPr>
          <w:rFonts w:ascii="Arial Unicode MS" w:cs="Arial Unicode MS" w:eastAsia="Arial Unicode MS" w:hAnsi="Arial Unicode MS"/>
          <w:sz w:val="21"/>
          <w:szCs w:val="21"/>
          <w:rtl w:val="0"/>
        </w:rPr>
        <w:t xml:space="preserve">We are in a true 0→1 stage of growth, building production systems that work in real clinical environments and scaling across the US with clinical research partners. Sanro operates as a remote-first organisation, with colleagues across the US, Australia, and India. Success here depends on clear communication, written context, and strong ownership so that teammates in any time zone can pick up work and move it </w:t>
      </w:r>
      <w:r w:rsidDel="00000000" w:rsidR="00000000" w:rsidRPr="00000000">
        <w:rPr>
          <w:rFonts w:ascii="Arial" w:cs="Arial" w:eastAsia="Arial" w:hAnsi="Arial"/>
          <w:sz w:val="21"/>
          <w:szCs w:val="21"/>
          <w:rtl w:val="0"/>
        </w:rPr>
        <w:t xml:space="preserve">forward.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Senior Data Engineer — Healthcare Analytics &amp; Data Platform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We are looking for a highly experienced and hands-on Senior Data Engineer to design, build, and scale our healthcare data analytics platform. You’ll work with clinical EMR and imaging data.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This role is ideal for someone who has deep technical expertise, understands healthcare data standards (FHIR/USCDI/DICOM), and has experience with modern OLAP databases like Snowflake and ClickHouse and Data Lake architecture.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i w:val="0"/>
          <w:iCs w:val="0"/>
          <w:smallCaps w:val="0"/>
          <w:strike w:val="0"/>
          <w:color w:val="000000"/>
          <w:sz w:val="22"/>
          <w:szCs w:val="22"/>
          <w:u w:val="single"/>
          <w:shd w:fill="auto" w:val="clear"/>
          <w:vertAlign w:val="baseline"/>
          <w:rtl w:val="0"/>
        </w:rPr>
        <w:t xml:space="preserve">Roles &amp; Responsibilities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Data Ingestion &amp; Integration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Design and implement robust, scalable data ingestion frameworks from EMR systems (e.g., Nextech, Nextgen, ModMed EMA, Epic, Cerner) and Imaging systems &amp; PACS (e.g. HEYEX1 &amp;2, FORUM, Optos Advance, Axis, Continuum, etc.).</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Ingest structured and semi-structured data (including clinical, &amp; imaging metadata) using batch and real-time methods (CDC, streaming).</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Build and maintain connectors using APIs, streams and other ingestion technologies.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Data Transformation &amp; Analytics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Build and maintain ETL/ELT pipelines using transformation frameworks (dbt, Spark, Python, SQL).</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Implement data quality checks, validation, lineage, and error-handling across pipelines.</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Optimize transformation workloads for performance and cost efficiency.</w:t>
        <w:br w:type="textWrapp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OLAP &amp; Data Warehouse Architecture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Lead the design, modelling, and optimization of analytics-ready data structures across modern OLAP systems and scalable data lake / Lakehouse patterns (e.g., Data</w:t>
      </w:r>
      <w:r w:rsidDel="00000000" w:rsidR="00000000" w:rsidRPr="00000000">
        <w:rPr>
          <w:rFonts w:ascii="Arial" w:cs="Arial" w:eastAsia="Arial" w:hAnsi="Arial"/>
          <w:sz w:val="21"/>
          <w:szCs w:val="21"/>
          <w:rtl w:val="0"/>
        </w:rPr>
        <w:t xml:space="preserve">b</w:t>
      </w: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ricks, Snowflake, ClickHouse).</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Apply dimensional modelling (E.g. Star schema) and other data modelling best practices to support reporting and analytics.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Platform &amp; Tooling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Evaluate and standardize tools for orchestration (Apache Airflow), real-time processing (Flink/Kafka), and integration (dbt, Airbyte)</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Implement monitoring/observability (logging, alerting) for pipeline reliability.</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Partner with DevOps for CI/CD, IaC (Terraform), and deployment automation.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Stakeholder Collaboration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Work closely with Data Scientists, Product Owners, and business stakeholders to translate requirements into data engineering solutions.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Provide technical leadership, mentoring, and direction to junior engineers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Governance &amp; Compliance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Ensure data governance, security, and compliance with healthcare regulations (HIPAA, PHI/PII protections).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i w:val="0"/>
          <w:iCs w:val="0"/>
          <w:smallCaps w:val="0"/>
          <w:strike w:val="0"/>
          <w:color w:val="000000"/>
          <w:sz w:val="22"/>
          <w:szCs w:val="22"/>
          <w:u w:val="single"/>
          <w:shd w:fill="auto" w:val="clear"/>
          <w:vertAlign w:val="baseline"/>
          <w:rtl w:val="0"/>
        </w:rPr>
        <w:t xml:space="preserve">Required Qualifications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5+ years of professional experience in data engineering or related roles.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Strong expertise in healthcare data (EMR/EHR systems, clinical &amp; imaging data workflows).</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Hands-on experience with data lake/Lakehouse architectures and OLAP databases like Databricks, Snowflake, ClickHouse, etc. including schema design, performance tuning, and workload optimization.</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Excellent SQL skills and deep understanding of data modelling.</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Proficiency in Python, and experience with data pipeline/orchestration tools (Airflow, dbt, Spark, Airbyte).</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Experience with streaming ingestion and processing (Kafka, Pub/Sub, Flink).</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Solid experience with Azure cloud platform and multi-party SaaS data services.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Experience with healthcare standards like FHIR, HL7 and DICOM.</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Familiarity with data governance, data quality frameworks, and regulatory compliance.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i w:val="0"/>
          <w:iCs w:val="0"/>
          <w:smallCaps w:val="0"/>
          <w:strike w:val="0"/>
          <w:color w:val="000000"/>
          <w:sz w:val="22"/>
          <w:szCs w:val="22"/>
          <w:u w:val="single"/>
          <w:shd w:fill="auto" w:val="clear"/>
          <w:vertAlign w:val="baseline"/>
          <w:rtl w:val="0"/>
        </w:rPr>
        <w:t xml:space="preserve">Nice to have Qualifications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Experience with modern AI coding assistants (e.g., GitHub Copilot, Claude Code) to accelerate development workflows, automate code generation, and improve productivity.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Familiarity with integrating LLMs and AI agents with database systems and data platforms.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after="240" w:before="240"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Personal attributes:</w:t>
      </w:r>
    </w:p>
    <w:p w:rsidR="00000000" w:rsidDel="00000000" w:rsidP="00000000" w:rsidRDefault="00000000" w:rsidRPr="00000000" w14:paraId="0000003B">
      <w:pPr>
        <w:numPr>
          <w:ilvl w:val="0"/>
          <w:numId w:val="1"/>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Collaborative, responsive, accountable</w:t>
      </w:r>
    </w:p>
    <w:p w:rsidR="00000000" w:rsidDel="00000000" w:rsidP="00000000" w:rsidRDefault="00000000" w:rsidRPr="00000000" w14:paraId="0000003C">
      <w:pPr>
        <w:numPr>
          <w:ilvl w:val="0"/>
          <w:numId w:val="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Curious, embraces learning opportunities, self-directed improvement</w:t>
      </w:r>
    </w:p>
    <w:p w:rsidR="00000000" w:rsidDel="00000000" w:rsidP="00000000" w:rsidRDefault="00000000" w:rsidRPr="00000000" w14:paraId="0000003D">
      <w:pPr>
        <w:numPr>
          <w:ilvl w:val="0"/>
          <w:numId w:val="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Strong individual contributor motivated by collective team outcomes</w:t>
      </w:r>
    </w:p>
    <w:p w:rsidR="00000000" w:rsidDel="00000000" w:rsidP="00000000" w:rsidRDefault="00000000" w:rsidRPr="00000000" w14:paraId="0000003E">
      <w:pPr>
        <w:numPr>
          <w:ilvl w:val="0"/>
          <w:numId w:val="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Knows when to ask for help and when to offer it</w:t>
      </w:r>
    </w:p>
    <w:p w:rsidR="00000000" w:rsidDel="00000000" w:rsidP="00000000" w:rsidRDefault="00000000" w:rsidRPr="00000000" w14:paraId="0000003F">
      <w:pPr>
        <w:numPr>
          <w:ilvl w:val="0"/>
          <w:numId w:val="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Commitment to high-quality outputs and root-cause solutions</w:t>
      </w:r>
    </w:p>
    <w:p w:rsidR="00000000" w:rsidDel="00000000" w:rsidP="00000000" w:rsidRDefault="00000000" w:rsidRPr="00000000" w14:paraId="00000040">
      <w:pPr>
        <w:numPr>
          <w:ilvl w:val="0"/>
          <w:numId w:val="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Maintains effectiveness and momentum through change</w:t>
      </w:r>
    </w:p>
    <w:p w:rsidR="00000000" w:rsidDel="00000000" w:rsidP="00000000" w:rsidRDefault="00000000" w:rsidRPr="00000000" w14:paraId="00000041">
      <w:pPr>
        <w:numPr>
          <w:ilvl w:val="0"/>
          <w:numId w:val="1"/>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Ability and desire to thrive in a lean, fast-paced environment, building real solutions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0" w:line="276" w:lineRule="auto"/>
      <w:rPr/>
    </w:pPr>
    <w:r w:rsidDel="00000000" w:rsidR="00000000" w:rsidRPr="00000000">
      <w:rPr>
        <w:rFonts w:ascii="Arial" w:cs="Arial" w:eastAsia="Arial" w:hAnsi="Arial"/>
        <w:sz w:val="22"/>
        <w:szCs w:val="22"/>
      </w:rPr>
      <w:drawing>
        <wp:inline distB="114300" distT="114300" distL="114300" distR="114300">
          <wp:extent cx="2119313" cy="31341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19313" cy="31341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