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br/>
      </w:r>
      <w:r>
        <w:t xml:space="preserve">linkedin.com/in/sudath-attanayake</w:t>
      </w:r>
      <w:r>
        <w:br/>
      </w:r>
      <w:r>
        <w:t xml:space="preserve">sudatha@gmail.com | 0411040055</w:t>
      </w:r>
    </w:p>
    <w:p>
      <w:pPr>
        <w:pStyle w:val="BodyText"/>
      </w:pPr>
      <w:r>
        <w:t xml:space="preserve">11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Kinetic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Migration Lead role for Kinetic’s Asset Management Transformation. With more than 15 years in data, migration, and integration delivery across Australia and New Zealand, I bring the combination of hands-on technical depth and delivery leadership needed to lead complex end-to-end migration workstreams in a large transformation program.</w:t>
      </w:r>
    </w:p>
    <w:p>
      <w:pPr>
        <w:pStyle w:val="BodyText"/>
      </w:pPr>
      <w:r>
        <w:t xml:space="preserve">My background aligns strongly with the core requirements of this role. I have led data migration and integration work across enterprise platforms, including scope definition, extraction, ETL, validation, reconciliation, testing, and cutover support. I have also worked closely with business stakeholders, architects, vendors, and system owners to translate requirements into fit-for-purpose migration outcomes while managing risks, timelines, documentation, and go-live readiness.</w:t>
      </w:r>
    </w:p>
    <w:p>
      <w:pPr>
        <w:pStyle w:val="BodyText"/>
      </w:pPr>
      <w:r>
        <w:t xml:space="preserve">Several parts of my experience are directly relevant to Kinetic’s program. At Whanau Tahi, I led a large SQL Server to Azure migration with staged testing, validation, and controlled cutover in a high-availability environment. At Whangarei District Council, I led system migration activities for core council platforms and managed live cutover execution, UAT, and testing. More recently, I have supported migration and modernization initiatives across complex multi-system environments, with a strong focus on data quality, governance, stakeholder coordination, and dependable delivery.</w:t>
      </w:r>
    </w:p>
    <w:p>
      <w:pPr>
        <w:pStyle w:val="BodyText"/>
      </w:pPr>
      <w:r>
        <w:t xml:space="preserve">I am particularly interested in this opportunity because of Kinetic’s scale, transformation agenda, and focus on building simplified and consistent ways of working. The role’s emphasis on high-quality, fit-for-purpose data, strong stakeholder alignment, and disciplined migration execution is closely aligned with how I have worked throughout my career.</w:t>
      </w:r>
    </w:p>
    <w:p>
      <w:pPr>
        <w:pStyle w:val="BodyText"/>
      </w:pPr>
      <w:r>
        <w:t xml:space="preserve">I would welcome the opportunity to discuss how I can contribute to Kinetic’s Asset Management transformation as Data Migration Lead.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2026-03-10T21:00:08Z</dcterms:created>
  <dcterms:modified xsi:type="dcterms:W3CDTF">2026-03-10T21:00:08Z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