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sudatha@gmail.com</w:t>
        </w:r>
      </w:hyperlink>
      <w:r>
        <w:t xml:space="preserve"> </w:t>
      </w:r>
      <w:r>
        <w:t xml:space="preserve">| Phone: 0411040055 | LinkedIn: linkedin.com/in/sudath-attanayake</w:t>
      </w:r>
    </w:p>
    <w:p>
      <w:pPr>
        <w:pStyle w:val="BodyText"/>
      </w:pPr>
      <w:r>
        <w:t xml:space="preserve">4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Silverchain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Data Architect role within Silverchain's Digital Program. The opportunity to contribute to a national operational care platform powered by Microsoft Dynamics 365 strongly aligns with my background in enterprise data architecture, integration, and analytics delivery.</w:t>
      </w:r>
    </w:p>
    <w:p>
      <w:pPr>
        <w:pStyle w:val="BodyText"/>
      </w:pPr>
      <w:r>
        <w:t xml:space="preserve">Across Australia and New Zealand, I have led architecture and data-platform initiatives in complex environments where governance, reliability, and business alignment are critical. I bring practical experience in Microsoft Fabric, Azure Data Factory, Azure Synapse Analytics, Azure Data Lake Storage, Azure SQL, and Power BI.</w:t>
      </w:r>
    </w:p>
    <w:p>
      <w:pPr>
        <w:pStyle w:val="BodyText"/>
      </w:pPr>
      <w:r>
        <w:t xml:space="preserve">I also bring direct integration experience across Dynamics 365 CE and Dataverse, including Dataverse-Synapse Link patterns to enable near real-time analytical access, streamlined reporting, and trusted downstream data consumption.</w:t>
      </w:r>
    </w:p>
    <w:p>
      <w:pPr>
        <w:pStyle w:val="BodyText"/>
      </w:pPr>
      <w:r>
        <w:t xml:space="preserve">In recent roles, I have defined target-state data architecture, established delivery roadmaps, and implemented governance controls for metadata, lineage, data quality, privacy, and access management. I work closely with business stakeholders, solution architects, application teams, and infrastructure specialists to translate requirements into scalable, supportable solutions.</w:t>
      </w:r>
    </w:p>
    <w:p>
      <w:pPr>
        <w:pStyle w:val="BodyText"/>
      </w:pPr>
      <w:r>
        <w:t xml:space="preserve">Silverchain's purpose-led care model and transformation agenda are compelling. I would value the opportunity to contribute my architecture and integration experience to help build secure, trusted, and insight-ready data foundations for your Digital Program.</w:t>
      </w:r>
    </w:p>
    <w:p>
      <w:pPr>
        <w:pStyle w:val="BodyText"/>
      </w:pPr>
      <w:r>
        <w:t xml:space="preserve">Thank you for your consideration. I welcome the opportunity to discuss how I can support Silverchain in this role.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sudat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sudat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2026-03-04T09:20:18Z</dcterms:created>
  <dcterms:modified xsi:type="dcterms:W3CDTF">2026-03-04T09:20:18Z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