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sudath-attanayake"/>
    <w:p>
      <w:pPr>
        <w:pStyle w:val="Heading1"/>
      </w:pPr>
      <w:r>
        <w:t xml:space="preserve">Sudath Attanayake</w:t>
      </w:r>
    </w:p>
    <w:p>
      <w:pPr>
        <w:pStyle w:val="FirstParagraph"/>
      </w:pPr>
      <w:r>
        <w:t xml:space="preserve">Melbourne, VIC, Australia | Available for Port Melbourne hybrid and onsite roles</w:t>
      </w:r>
      <w:r>
        <w:t xml:space="preserve"> </w:t>
      </w:r>
      <w:r>
        <w:t xml:space="preserve">LinkedIn: linkedin.com/in/sudath-attanayake | Email:</w:t>
      </w:r>
      <w:r>
        <w:t xml:space="preserve"> </w:t>
      </w:r>
      <w:hyperlink r:id="rId9">
        <w:r>
          <w:rPr>
            <w:rStyle w:val="Hyperlink"/>
          </w:rPr>
          <w:t xml:space="preserve">sudatha@gmail.com</w:t>
        </w:r>
      </w:hyperlink>
      <w:r>
        <w:t xml:space="preserve"> </w:t>
      </w:r>
      <w:r>
        <w:t xml:space="preserve">| Phone: 0411040055</w:t>
      </w:r>
    </w:p>
    <w:bookmarkStart w:id="10" w:name="head-of-data-and-integration"/>
    <w:p>
      <w:pPr>
        <w:pStyle w:val="Heading2"/>
      </w:pPr>
      <w:r>
        <w:t xml:space="preserve">Head of Data and Integration</w:t>
      </w:r>
    </w:p>
    <w:bookmarkEnd w:id="10"/>
    <w:bookmarkStart w:id="11" w:name="key-highlights"/>
    <w:p>
      <w:pPr>
        <w:pStyle w:val="Heading2"/>
      </w:pPr>
      <w:r>
        <w:t xml:space="preserve">Key Highlights</w:t>
      </w:r>
    </w:p>
    <w:p>
      <w:pPr>
        <w:pStyle w:val="Compact"/>
        <w:numPr>
          <w:ilvl w:val="0"/>
          <w:numId w:val="1001"/>
        </w:numPr>
      </w:pPr>
      <w:r>
        <w:t xml:space="preserve">15+ years in data management, data engineering, and business intelligence roles, including senior leadership with strategic ownership.</w:t>
      </w:r>
    </w:p>
    <w:p>
      <w:pPr>
        <w:pStyle w:val="Compact"/>
        <w:numPr>
          <w:ilvl w:val="0"/>
          <w:numId w:val="1001"/>
        </w:numPr>
      </w:pPr>
      <w:r>
        <w:t xml:space="preserve">Proven Data Architect with Enterprise Architect-level capability across large-scale enterprise and government programs.</w:t>
      </w:r>
    </w:p>
    <w:p>
      <w:pPr>
        <w:pStyle w:val="Compact"/>
        <w:numPr>
          <w:ilvl w:val="0"/>
          <w:numId w:val="1001"/>
        </w:numPr>
      </w:pPr>
      <w:r>
        <w:t xml:space="preserve">Strong understanding of enterprise architecture frameworks and delivery of enterprise data architecture.</w:t>
      </w:r>
    </w:p>
    <w:p>
      <w:pPr>
        <w:pStyle w:val="Compact"/>
        <w:numPr>
          <w:ilvl w:val="0"/>
          <w:numId w:val="1001"/>
        </w:numPr>
      </w:pPr>
      <w:r>
        <w:t xml:space="preserve">Deep Microsoft capability across Microsoft Fabric, Azure Data Factory, Azure Synapse Analytics, Azure Data Lake Storage, Azure SQL.</w:t>
      </w:r>
    </w:p>
    <w:p>
      <w:pPr>
        <w:pStyle w:val="Compact"/>
        <w:numPr>
          <w:ilvl w:val="0"/>
          <w:numId w:val="1001"/>
        </w:numPr>
      </w:pPr>
      <w:r>
        <w:t xml:space="preserve">Practical architecture experience across Dynamics 365 CE, Dataverse, and Dynamics 365 Finance &amp; Operations, including data models, integration, and reporting.</w:t>
      </w:r>
    </w:p>
    <w:p>
      <w:pPr>
        <w:pStyle w:val="Compact"/>
        <w:numPr>
          <w:ilvl w:val="0"/>
          <w:numId w:val="1001"/>
        </w:numPr>
      </w:pPr>
      <w:r>
        <w:t xml:space="preserve">Proficient in Power Platform delivery with Power BI, Power Automate, and Power Apps for no-code/low-code use cases.</w:t>
      </w:r>
    </w:p>
    <w:p>
      <w:pPr>
        <w:pStyle w:val="Compact"/>
        <w:numPr>
          <w:ilvl w:val="0"/>
          <w:numId w:val="1001"/>
        </w:numPr>
      </w:pPr>
      <w:r>
        <w:t xml:space="preserve">Established governance standards spanning metadata management, data lineage, data quality standards, security, privacy, and access management.</w:t>
      </w:r>
    </w:p>
    <w:p>
      <w:pPr>
        <w:pStyle w:val="Compact"/>
        <w:numPr>
          <w:ilvl w:val="0"/>
          <w:numId w:val="1001"/>
        </w:numPr>
      </w:pPr>
      <w:r>
        <w:t xml:space="preserve">Designed integration patterns and reference architectures connecting third-party systems and external data sources to scalable data solutions and AI-driven insights.</w:t>
      </w:r>
    </w:p>
    <w:bookmarkEnd w:id="11"/>
    <w:bookmarkStart w:id="12" w:name="professional-summary"/>
    <w:p>
      <w:pPr>
        <w:pStyle w:val="Heading2"/>
      </w:pPr>
      <w:r>
        <w:t xml:space="preserve">Professional Summary</w:t>
      </w:r>
    </w:p>
    <w:p>
      <w:pPr>
        <w:pStyle w:val="FirstParagraph"/>
      </w:pPr>
      <w:r>
        <w:t xml:space="preserve">Strategic and hands-on data leader with 15+ years of experience delivering enterprise data architecture, integration, and analytics platforms across Australia and New Zealand. Tertiary qualifications in Computer Science, with a track record operating as a Data Architect across complex transformation environments requiring clear architecture governance and business alignment. Strong capability in Microsoft Dynamics and Azure ecosystems, and effective at partnering with business stakeholders to translate requirements into scalable data solutions. Collaborative working style across solution architects, application teams, and infrastructure specialists to deliver practical, high-value outcomes.</w:t>
      </w:r>
    </w:p>
    <w:bookmarkEnd w:id="12"/>
    <w:bookmarkStart w:id="13" w:name="core-competencies"/>
    <w:p>
      <w:pPr>
        <w:pStyle w:val="Heading2"/>
      </w:pPr>
      <w:r>
        <w:t xml:space="preserve">Core Competencies</w:t>
      </w:r>
    </w:p>
    <w:p>
      <w:pPr>
        <w:pStyle w:val="Compact"/>
        <w:numPr>
          <w:ilvl w:val="0"/>
          <w:numId w:val="1002"/>
        </w:numPr>
      </w:pPr>
      <w:r>
        <w:t xml:space="preserve">Enterprise Data Architecture and TOGAF-Aligned Design</w:t>
      </w:r>
    </w:p>
    <w:p>
      <w:pPr>
        <w:pStyle w:val="Compact"/>
        <w:numPr>
          <w:ilvl w:val="0"/>
          <w:numId w:val="1002"/>
        </w:numPr>
      </w:pPr>
      <w:r>
        <w:t xml:space="preserve">Data Strategy, Roadmap Development, and Architecture Governance</w:t>
      </w:r>
    </w:p>
    <w:p>
      <w:pPr>
        <w:pStyle w:val="Compact"/>
        <w:numPr>
          <w:ilvl w:val="0"/>
          <w:numId w:val="1002"/>
        </w:numPr>
      </w:pPr>
      <w:r>
        <w:t xml:space="preserve">Enterprise Architecture Frameworks and Reference Architectures</w:t>
      </w:r>
    </w:p>
    <w:p>
      <w:pPr>
        <w:pStyle w:val="Compact"/>
        <w:numPr>
          <w:ilvl w:val="0"/>
          <w:numId w:val="1002"/>
        </w:numPr>
      </w:pPr>
      <w:r>
        <w:t xml:space="preserve">Dynamics 365 CE, Dataverse, and Dynamics 365 Finance &amp; Operations Data Integration</w:t>
      </w:r>
    </w:p>
    <w:p>
      <w:pPr>
        <w:pStyle w:val="Compact"/>
        <w:numPr>
          <w:ilvl w:val="0"/>
          <w:numId w:val="1002"/>
        </w:numPr>
      </w:pPr>
      <w:r>
        <w:t xml:space="preserve">Azure Data Services: Microsoft Fabric, Azure Data Factory, Azure Synapse Analytics, Azure Data Lake Storage, Azure SQL, Cosmos DB</w:t>
      </w:r>
    </w:p>
    <w:p>
      <w:pPr>
        <w:pStyle w:val="Compact"/>
        <w:numPr>
          <w:ilvl w:val="0"/>
          <w:numId w:val="1002"/>
        </w:numPr>
      </w:pPr>
      <w:r>
        <w:t xml:space="preserve">Data Models, Integration Patterns, and Reporting Enablement</w:t>
      </w:r>
    </w:p>
    <w:p>
      <w:pPr>
        <w:pStyle w:val="Compact"/>
        <w:numPr>
          <w:ilvl w:val="0"/>
          <w:numId w:val="1002"/>
        </w:numPr>
      </w:pPr>
      <w:r>
        <w:t xml:space="preserve">Power Platform Delivery: Power BI, Power Automate, Power Apps, no-code/low-code solutions</w:t>
      </w:r>
    </w:p>
    <w:p>
      <w:pPr>
        <w:pStyle w:val="Compact"/>
        <w:numPr>
          <w:ilvl w:val="0"/>
          <w:numId w:val="1002"/>
        </w:numPr>
      </w:pPr>
      <w:r>
        <w:t xml:space="preserve">Data Governance, Metadata Management, Data Lineage, and Data Quality Standards</w:t>
      </w:r>
    </w:p>
    <w:p>
      <w:pPr>
        <w:pStyle w:val="Compact"/>
        <w:numPr>
          <w:ilvl w:val="0"/>
          <w:numId w:val="1002"/>
        </w:numPr>
      </w:pPr>
      <w:r>
        <w:t xml:space="preserve">Security, Privacy, and Access Management Controls</w:t>
      </w:r>
    </w:p>
    <w:p>
      <w:pPr>
        <w:pStyle w:val="Compact"/>
        <w:numPr>
          <w:ilvl w:val="0"/>
          <w:numId w:val="1002"/>
        </w:numPr>
      </w:pPr>
      <w:r>
        <w:t xml:space="preserve">Third-Party Systems and External Data Sources Integration</w:t>
      </w:r>
    </w:p>
    <w:p>
      <w:pPr>
        <w:pStyle w:val="Compact"/>
        <w:numPr>
          <w:ilvl w:val="0"/>
          <w:numId w:val="1002"/>
        </w:numPr>
      </w:pPr>
      <w:r>
        <w:t xml:space="preserve">Stakeholder Engagement and Scalable Data Solutions Delivery</w:t>
      </w:r>
    </w:p>
    <w:bookmarkEnd w:id="13"/>
    <w:bookmarkStart w:id="14" w:name="technical-skills"/>
    <w:p>
      <w:pPr>
        <w:pStyle w:val="Heading2"/>
      </w:pPr>
      <w:r>
        <w:t xml:space="preserve">Technical Skills</w:t>
      </w:r>
    </w:p>
    <w:p>
      <w:pPr>
        <w:pStyle w:val="Compact"/>
        <w:numPr>
          <w:ilvl w:val="0"/>
          <w:numId w:val="1003"/>
        </w:numPr>
      </w:pPr>
      <w:r>
        <w:t xml:space="preserve">Power BI: DAX, Power Query, dataflows, semantic models, calculation groups, deployment pipelines, performance tuning</w:t>
      </w:r>
    </w:p>
    <w:p>
      <w:pPr>
        <w:pStyle w:val="Compact"/>
        <w:numPr>
          <w:ilvl w:val="0"/>
          <w:numId w:val="1003"/>
        </w:numPr>
      </w:pPr>
      <w:r>
        <w:t xml:space="preserve">SQL Server: T-SQL, SSIS, SSAS, stored procedures, performance optimization</w:t>
      </w:r>
    </w:p>
    <w:p>
      <w:pPr>
        <w:pStyle w:val="Compact"/>
        <w:numPr>
          <w:ilvl w:val="0"/>
          <w:numId w:val="1003"/>
        </w:numPr>
      </w:pPr>
      <w:r>
        <w:t xml:space="preserve">Data Engineering: ETL/ELT, Azure Data Factory, SSIS, SQL, Python automation</w:t>
      </w:r>
    </w:p>
    <w:p>
      <w:pPr>
        <w:pStyle w:val="Compact"/>
        <w:numPr>
          <w:ilvl w:val="0"/>
          <w:numId w:val="1003"/>
        </w:numPr>
      </w:pPr>
      <w:r>
        <w:t xml:space="preserve">Data Warehousing: Dimensional modeling, fact tables, slowly changing dimensions, medallion architecture</w:t>
      </w:r>
    </w:p>
    <w:p>
      <w:pPr>
        <w:pStyle w:val="Compact"/>
        <w:numPr>
          <w:ilvl w:val="0"/>
          <w:numId w:val="1003"/>
        </w:numPr>
      </w:pPr>
      <w:r>
        <w:t xml:space="preserve">Cloud and Platforms: Microsoft Azure, Azure SQL, Azure Synapse, Microsoft Fabric, Event Hub</w:t>
      </w:r>
    </w:p>
    <w:p>
      <w:pPr>
        <w:pStyle w:val="Compact"/>
        <w:numPr>
          <w:ilvl w:val="0"/>
          <w:numId w:val="1003"/>
        </w:numPr>
      </w:pPr>
      <w:r>
        <w:t xml:space="preserve">Integration: API integration, REST/SOAP web services, middleware and enterprise data flow design</w:t>
      </w:r>
    </w:p>
    <w:p>
      <w:pPr>
        <w:pStyle w:val="Compact"/>
        <w:numPr>
          <w:ilvl w:val="0"/>
          <w:numId w:val="1003"/>
        </w:numPr>
      </w:pPr>
      <w:r>
        <w:t xml:space="preserve">Governance and Operations: Data quality monitoring and alerting, metadata and lineage controls, lifecycle and retention practices</w:t>
      </w:r>
    </w:p>
    <w:bookmarkEnd w:id="14"/>
    <w:bookmarkStart w:id="24" w:name="professional-experience"/>
    <w:p>
      <w:pPr>
        <w:pStyle w:val="Heading2"/>
      </w:pPr>
      <w:r>
        <w:t xml:space="preserve">Professional Experience</w:t>
      </w:r>
    </w:p>
    <w:bookmarkStart w:id="15" w:name="attekus-melbourne-australia-hybrid"/>
    <w:p>
      <w:pPr>
        <w:pStyle w:val="Heading3"/>
      </w:pPr>
      <w:r>
        <w:t xml:space="preserve">Attekus, Melbourne, Australia (Hybrid)</w:t>
      </w:r>
    </w:p>
    <w:p>
      <w:pPr>
        <w:pStyle w:val="FirstParagraph"/>
      </w:pPr>
      <w:r>
        <w:rPr>
          <w:b/>
          <w:bCs/>
        </w:rPr>
        <w:t xml:space="preserve">Data Platform Lead | Apr 2025 - Feb 2026</w:t>
      </w:r>
    </w:p>
    <w:p>
      <w:pPr>
        <w:pStyle w:val="Compact"/>
        <w:numPr>
          <w:ilvl w:val="0"/>
          <w:numId w:val="1004"/>
        </w:numPr>
      </w:pPr>
      <w:r>
        <w:t xml:space="preserve">Led enterprise data and integration architecture in a hands-on strategic role, partnering with business and technology stakeholders.</w:t>
      </w:r>
    </w:p>
    <w:p>
      <w:pPr>
        <w:pStyle w:val="Compact"/>
        <w:numPr>
          <w:ilvl w:val="0"/>
          <w:numId w:val="1004"/>
        </w:numPr>
      </w:pPr>
      <w:r>
        <w:t xml:space="preserve">Defined governance standards for data ownership, stewardship, quality controls, and platform delivery guardrails.</w:t>
      </w:r>
    </w:p>
    <w:p>
      <w:pPr>
        <w:pStyle w:val="Compact"/>
        <w:numPr>
          <w:ilvl w:val="0"/>
          <w:numId w:val="1004"/>
        </w:numPr>
      </w:pPr>
      <w:r>
        <w:t xml:space="preserve">Implemented Microsoft Fabric medallion architecture (bronze, silver, gold) to improve data ingestion reliability and analytics readiness.</w:t>
      </w:r>
    </w:p>
    <w:p>
      <w:pPr>
        <w:pStyle w:val="Compact"/>
        <w:numPr>
          <w:ilvl w:val="0"/>
          <w:numId w:val="1004"/>
        </w:numPr>
      </w:pPr>
      <w:r>
        <w:t xml:space="preserve">Designed ETL/ELT patterns for multiple source systems, including standardized transformation approaches and operational monitoring.</w:t>
      </w:r>
    </w:p>
    <w:p>
      <w:pPr>
        <w:pStyle w:val="Compact"/>
        <w:numPr>
          <w:ilvl w:val="0"/>
          <w:numId w:val="1004"/>
        </w:numPr>
      </w:pPr>
      <w:r>
        <w:t xml:space="preserve">Improved data quality through validation controls, monitoring, and alerting frameworks across critical pipelines.</w:t>
      </w:r>
    </w:p>
    <w:p>
      <w:pPr>
        <w:pStyle w:val="Compact"/>
        <w:numPr>
          <w:ilvl w:val="0"/>
          <w:numId w:val="1004"/>
        </w:numPr>
      </w:pPr>
      <w:r>
        <w:t xml:space="preserve">Strengthened Power BI delivery through DAX optimization, semantic model uplift, refresh schedule governance, and performance tuning.</w:t>
      </w:r>
    </w:p>
    <w:p>
      <w:pPr>
        <w:pStyle w:val="Compact"/>
        <w:numPr>
          <w:ilvl w:val="0"/>
          <w:numId w:val="1004"/>
        </w:numPr>
      </w:pPr>
      <w:r>
        <w:t xml:space="preserve">Produced architecture documentation, data flow views, and runbooks to improve supportability and operational continuity.</w:t>
      </w:r>
    </w:p>
    <w:bookmarkEnd w:id="15"/>
    <w:bookmarkStart w:id="16" w:name="Xc5ef9dceb191335fc8ab039a61e2c9c79182478"/>
    <w:p>
      <w:pPr>
        <w:pStyle w:val="Heading3"/>
      </w:pPr>
      <w:r>
        <w:t xml:space="preserve">Abano Healthcare Group, Melbourne, Australia and New Zealand (Hybrid)</w:t>
      </w:r>
    </w:p>
    <w:p>
      <w:pPr>
        <w:pStyle w:val="FirstParagraph"/>
      </w:pPr>
      <w:r>
        <w:rPr>
          <w:b/>
          <w:bCs/>
        </w:rPr>
        <w:t xml:space="preserve">Data and Analytics Architect | Nov 2022 - Apr 2025</w:t>
      </w:r>
    </w:p>
    <w:p>
      <w:pPr>
        <w:pStyle w:val="Compact"/>
        <w:numPr>
          <w:ilvl w:val="0"/>
          <w:numId w:val="1005"/>
        </w:numPr>
      </w:pPr>
      <w:r>
        <w:t xml:space="preserve">Owned data and integration architecture across 250+ endpoints, with strategic direction for modernization and enterprise reporting.</w:t>
      </w:r>
    </w:p>
    <w:p>
      <w:pPr>
        <w:pStyle w:val="Compact"/>
        <w:numPr>
          <w:ilvl w:val="0"/>
          <w:numId w:val="1005"/>
        </w:numPr>
      </w:pPr>
      <w:r>
        <w:t xml:space="preserve">Led a detailed current-state assessment of the data ecosystem, reviewing the existing data landscape across warehouse integrations and upstream systems.</w:t>
      </w:r>
    </w:p>
    <w:p>
      <w:pPr>
        <w:pStyle w:val="Compact"/>
        <w:numPr>
          <w:ilvl w:val="0"/>
          <w:numId w:val="1005"/>
        </w:numPr>
      </w:pPr>
      <w:r>
        <w:t xml:space="preserve">Mapped and assessed integration dependencies across Finance (D365 F&amp;O), Payroll, CRM, and SharePoint endpoints to guide modernization decisions.</w:t>
      </w:r>
    </w:p>
    <w:p>
      <w:pPr>
        <w:pStyle w:val="Compact"/>
        <w:numPr>
          <w:ilvl w:val="0"/>
          <w:numId w:val="1005"/>
        </w:numPr>
      </w:pPr>
      <w:r>
        <w:t xml:space="preserve">Designed migration roadmap from legacy data warehouses to Microsoft Fabric and Azure-aligned architecture.</w:t>
      </w:r>
    </w:p>
    <w:p>
      <w:pPr>
        <w:pStyle w:val="Compact"/>
        <w:numPr>
          <w:ilvl w:val="0"/>
          <w:numId w:val="1005"/>
        </w:numPr>
      </w:pPr>
      <w:r>
        <w:t xml:space="preserve">Established dimensional modeling standards and reusable data design patterns for executive and operational reporting.</w:t>
      </w:r>
    </w:p>
    <w:p>
      <w:pPr>
        <w:pStyle w:val="Compact"/>
        <w:numPr>
          <w:ilvl w:val="0"/>
          <w:numId w:val="1005"/>
        </w:numPr>
      </w:pPr>
      <w:r>
        <w:t xml:space="preserve">Led integration design across finance, payroll, and operational platforms using API-led and middleware-aligned patterns.</w:t>
      </w:r>
    </w:p>
    <w:p>
      <w:pPr>
        <w:pStyle w:val="Compact"/>
        <w:numPr>
          <w:ilvl w:val="0"/>
          <w:numId w:val="1005"/>
        </w:numPr>
      </w:pPr>
      <w:r>
        <w:t xml:space="preserve">Performed careful impact and risk assessments for each change across connected systems and served as a senior member of the Change Advisory Committee (CAB).</w:t>
      </w:r>
    </w:p>
    <w:p>
      <w:pPr>
        <w:pStyle w:val="Compact"/>
        <w:numPr>
          <w:ilvl w:val="0"/>
          <w:numId w:val="1005"/>
        </w:numPr>
      </w:pPr>
      <w:r>
        <w:t xml:space="preserve">Supported data migration workstreams with structured testing and validation approaches for delivery risk reduction.</w:t>
      </w:r>
    </w:p>
    <w:p>
      <w:pPr>
        <w:pStyle w:val="Compact"/>
        <w:numPr>
          <w:ilvl w:val="0"/>
          <w:numId w:val="1005"/>
        </w:numPr>
      </w:pPr>
      <w:r>
        <w:t xml:space="preserve">Uplifted Power BI standards across semantic model design, DAX quality, deployment governance, and self-service analytics.</w:t>
      </w:r>
    </w:p>
    <w:bookmarkEnd w:id="16"/>
    <w:bookmarkStart w:id="17" w:name="X59d58a29d8c82f18fa6f1135fe52029de99abec"/>
    <w:p>
      <w:pPr>
        <w:pStyle w:val="Heading3"/>
      </w:pPr>
      <w:r>
        <w:t xml:space="preserve">Abano Healthcare Group, Auckland, New Zealand</w:t>
      </w:r>
    </w:p>
    <w:p>
      <w:pPr>
        <w:pStyle w:val="FirstParagraph"/>
      </w:pPr>
      <w:r>
        <w:rPr>
          <w:b/>
          <w:bCs/>
        </w:rPr>
        <w:t xml:space="preserve">Senior DBA | Sep 2021 - Nov 2022</w:t>
      </w:r>
    </w:p>
    <w:p>
      <w:pPr>
        <w:pStyle w:val="Compact"/>
        <w:numPr>
          <w:ilvl w:val="0"/>
          <w:numId w:val="1006"/>
        </w:numPr>
      </w:pPr>
      <w:r>
        <w:t xml:space="preserve">Improved SQL Server reliability, resilience, and performance across business-critical platforms.</w:t>
      </w:r>
    </w:p>
    <w:p>
      <w:pPr>
        <w:pStyle w:val="Compact"/>
        <w:numPr>
          <w:ilvl w:val="0"/>
          <w:numId w:val="1006"/>
        </w:numPr>
      </w:pPr>
      <w:r>
        <w:t xml:space="preserve">Supported integration-heavy delivery programs and contributed to enterprise system implementation workstreams.</w:t>
      </w:r>
    </w:p>
    <w:p>
      <w:pPr>
        <w:pStyle w:val="Compact"/>
        <w:numPr>
          <w:ilvl w:val="0"/>
          <w:numId w:val="1006"/>
        </w:numPr>
      </w:pPr>
      <w:r>
        <w:t xml:space="preserve">Provided technical leadership for operational governance, lifecycle controls, and platform support standards.</w:t>
      </w:r>
    </w:p>
    <w:bookmarkEnd w:id="17"/>
    <w:bookmarkStart w:id="18" w:name="whanau-tahi-limited-auckland-new-zealand"/>
    <w:p>
      <w:pPr>
        <w:pStyle w:val="Heading3"/>
      </w:pPr>
      <w:r>
        <w:t xml:space="preserve">Whanau Tahi Limited, Auckland, New Zealand</w:t>
      </w:r>
    </w:p>
    <w:p>
      <w:pPr>
        <w:pStyle w:val="FirstParagraph"/>
      </w:pPr>
      <w:r>
        <w:rPr>
          <w:b/>
          <w:bCs/>
        </w:rPr>
        <w:t xml:space="preserve">Senior Database Administrator | Oct 2016 - Sep 2021</w:t>
      </w:r>
    </w:p>
    <w:p>
      <w:pPr>
        <w:pStyle w:val="Compact"/>
        <w:numPr>
          <w:ilvl w:val="0"/>
          <w:numId w:val="1007"/>
        </w:numPr>
      </w:pPr>
      <w:r>
        <w:t xml:space="preserve">Primary DBA for New Zealand's national e-Prescription platform in a high-availability regulated environment.</w:t>
      </w:r>
    </w:p>
    <w:p>
      <w:pPr>
        <w:pStyle w:val="Compact"/>
        <w:numPr>
          <w:ilvl w:val="0"/>
          <w:numId w:val="1007"/>
        </w:numPr>
      </w:pPr>
      <w:r>
        <w:t xml:space="preserve">Led 8 TB SQL Server to Azure migration with staged testing, validation, and controlled cutover.</w:t>
      </w:r>
    </w:p>
    <w:p>
      <w:pPr>
        <w:pStyle w:val="Compact"/>
        <w:numPr>
          <w:ilvl w:val="0"/>
          <w:numId w:val="1007"/>
        </w:numPr>
      </w:pPr>
      <w:r>
        <w:t xml:space="preserve">Led data migration and integration workstreams for system implementations across enterprise healthcare contexts.</w:t>
      </w:r>
    </w:p>
    <w:p>
      <w:pPr>
        <w:pStyle w:val="Compact"/>
        <w:numPr>
          <w:ilvl w:val="0"/>
          <w:numId w:val="1007"/>
        </w:numPr>
      </w:pPr>
      <w:r>
        <w:t xml:space="preserve">Implemented retention, archival, and operational governance practices to support compliance and long-term platform stability.</w:t>
      </w:r>
    </w:p>
    <w:bookmarkEnd w:id="18"/>
    <w:bookmarkStart w:id="19" w:name="simplhealth-auckland-new-zealand"/>
    <w:p>
      <w:pPr>
        <w:pStyle w:val="Heading3"/>
      </w:pPr>
      <w:r>
        <w:t xml:space="preserve">SimplHealth, Auckland, New Zealand</w:t>
      </w:r>
    </w:p>
    <w:p>
      <w:pPr>
        <w:pStyle w:val="FirstParagraph"/>
      </w:pPr>
      <w:r>
        <w:rPr>
          <w:b/>
          <w:bCs/>
        </w:rPr>
        <w:t xml:space="preserve">Senior DBA | Mar 2013 - Nov 2016</w:t>
      </w:r>
    </w:p>
    <w:p>
      <w:pPr>
        <w:pStyle w:val="Compact"/>
        <w:numPr>
          <w:ilvl w:val="0"/>
          <w:numId w:val="1008"/>
        </w:numPr>
      </w:pPr>
      <w:r>
        <w:t xml:space="preserve">Delivered integration and reporting data services to support operational and ministry-aligned outcomes.</w:t>
      </w:r>
    </w:p>
    <w:p>
      <w:pPr>
        <w:pStyle w:val="Compact"/>
        <w:numPr>
          <w:ilvl w:val="0"/>
          <w:numId w:val="1008"/>
        </w:numPr>
      </w:pPr>
      <w:r>
        <w:t xml:space="preserve">Built and maintained SQL-based ETL processes and business logic for dependable reporting.</w:t>
      </w:r>
    </w:p>
    <w:bookmarkEnd w:id="19"/>
    <w:bookmarkStart w:id="20" w:name="X597f119c46e6a7cdeaa090cbc6fb6ec6e943199"/>
    <w:p>
      <w:pPr>
        <w:pStyle w:val="Heading3"/>
      </w:pPr>
      <w:r>
        <w:t xml:space="preserve">Whangarei District Council, Whangarei, New Zealand</w:t>
      </w:r>
    </w:p>
    <w:p>
      <w:pPr>
        <w:pStyle w:val="FirstParagraph"/>
      </w:pPr>
      <w:r>
        <w:rPr>
          <w:b/>
          <w:bCs/>
        </w:rPr>
        <w:t xml:space="preserve">Senior DBA | Sep 2007 - Mar 2013</w:t>
      </w:r>
    </w:p>
    <w:p>
      <w:pPr>
        <w:pStyle w:val="Compact"/>
        <w:numPr>
          <w:ilvl w:val="0"/>
          <w:numId w:val="1009"/>
        </w:numPr>
      </w:pPr>
      <w:r>
        <w:t xml:space="preserve">Led Council Property and Rating, plus Finance system migration to the TechnologyOne platform.</w:t>
      </w:r>
    </w:p>
    <w:p>
      <w:pPr>
        <w:pStyle w:val="Compact"/>
        <w:numPr>
          <w:ilvl w:val="0"/>
          <w:numId w:val="1009"/>
        </w:numPr>
      </w:pPr>
      <w:r>
        <w:t xml:space="preserve">Designed a bespoke cutover approach and managed live cutover execution, UAT, and testing activities.</w:t>
      </w:r>
    </w:p>
    <w:p>
      <w:pPr>
        <w:pStyle w:val="Compact"/>
        <w:numPr>
          <w:ilvl w:val="0"/>
          <w:numId w:val="1009"/>
        </w:numPr>
      </w:pPr>
      <w:r>
        <w:t xml:space="preserve">Delivered data migration and system integration activities for enterprise transformation programs.</w:t>
      </w:r>
    </w:p>
    <w:bookmarkEnd w:id="20"/>
    <w:bookmarkStart w:id="21" w:name="X02905604a1057c4f073ab818bf9449804bf849e"/>
    <w:p>
      <w:pPr>
        <w:pStyle w:val="Heading3"/>
      </w:pPr>
      <w:r>
        <w:t xml:space="preserve">Northland District Health Board, New Zealand</w:t>
      </w:r>
    </w:p>
    <w:p>
      <w:pPr>
        <w:pStyle w:val="FirstParagraph"/>
      </w:pPr>
      <w:r>
        <w:rPr>
          <w:b/>
          <w:bCs/>
        </w:rPr>
        <w:t xml:space="preserve">DBA | 2003 - 2007</w:t>
      </w:r>
    </w:p>
    <w:p>
      <w:pPr>
        <w:pStyle w:val="Compact"/>
        <w:numPr>
          <w:ilvl w:val="0"/>
          <w:numId w:val="1010"/>
        </w:numPr>
      </w:pPr>
      <w:r>
        <w:t xml:space="preserve">Modernized legacy Microsoft Access systems to SQL Server and .NET-aligned platforms.</w:t>
      </w:r>
    </w:p>
    <w:p>
      <w:pPr>
        <w:pStyle w:val="Compact"/>
        <w:numPr>
          <w:ilvl w:val="0"/>
          <w:numId w:val="1010"/>
        </w:numPr>
      </w:pPr>
      <w:r>
        <w:t xml:space="preserve">Supported clinical data migration and go-live activities in regulated healthcare operations.</w:t>
      </w:r>
    </w:p>
    <w:p>
      <w:pPr>
        <w:pStyle w:val="Compact"/>
        <w:numPr>
          <w:ilvl w:val="0"/>
          <w:numId w:val="1010"/>
        </w:numPr>
      </w:pPr>
      <w:r>
        <w:t xml:space="preserve">Delivered application packaging for Citrix migration across Northland District Health Board-wide applications.</w:t>
      </w:r>
    </w:p>
    <w:bookmarkEnd w:id="21"/>
    <w:bookmarkStart w:id="22" w:name="nations-trust-bank-sri-lanka"/>
    <w:p>
      <w:pPr>
        <w:pStyle w:val="Heading3"/>
      </w:pPr>
      <w:r>
        <w:t xml:space="preserve">Nations Trust Bank, Sri Lanka</w:t>
      </w:r>
    </w:p>
    <w:p>
      <w:pPr>
        <w:pStyle w:val="FirstParagraph"/>
      </w:pPr>
      <w:r>
        <w:rPr>
          <w:b/>
          <w:bCs/>
        </w:rPr>
        <w:t xml:space="preserve">Senior Manager, Information Technology | Sep 1999 - Mar 2003</w:t>
      </w:r>
    </w:p>
    <w:p>
      <w:pPr>
        <w:pStyle w:val="Compact"/>
        <w:numPr>
          <w:ilvl w:val="0"/>
          <w:numId w:val="1011"/>
        </w:numPr>
      </w:pPr>
      <w:r>
        <w:t xml:space="preserve">Delivered a new banking software suite with modern delivery channels, completed on time and within budget.</w:t>
      </w:r>
    </w:p>
    <w:p>
      <w:pPr>
        <w:pStyle w:val="Compact"/>
        <w:numPr>
          <w:ilvl w:val="0"/>
          <w:numId w:val="1011"/>
        </w:numPr>
      </w:pPr>
      <w:r>
        <w:t xml:space="preserve">Led successful implementation of MasterCard gateways integrated with ATM and internet banking platforms.</w:t>
      </w:r>
    </w:p>
    <w:p>
      <w:pPr>
        <w:pStyle w:val="Compact"/>
        <w:numPr>
          <w:ilvl w:val="0"/>
          <w:numId w:val="1011"/>
        </w:numPr>
      </w:pPr>
      <w:r>
        <w:t xml:space="preserve">Reported to senior management and led IT infrastructure and enterprise system integration across business units.</w:t>
      </w:r>
    </w:p>
    <w:p>
      <w:pPr>
        <w:pStyle w:val="Compact"/>
        <w:numPr>
          <w:ilvl w:val="0"/>
          <w:numId w:val="1011"/>
        </w:numPr>
      </w:pPr>
      <w:r>
        <w:t xml:space="preserve">Managed external vendors, tender evaluations, software rollout coordination, and IT staff leadership.</w:t>
      </w:r>
    </w:p>
    <w:p>
      <w:pPr>
        <w:pStyle w:val="Compact"/>
        <w:numPr>
          <w:ilvl w:val="0"/>
          <w:numId w:val="1011"/>
        </w:numPr>
      </w:pPr>
      <w:r>
        <w:t xml:space="preserve">Led technical evaluations and testing for disaster recovery and business continuity planning.</w:t>
      </w:r>
    </w:p>
    <w:bookmarkEnd w:id="22"/>
    <w:bookmarkStart w:id="23" w:name="eutech-cybernetic"/>
    <w:p>
      <w:pPr>
        <w:pStyle w:val="Heading3"/>
      </w:pPr>
      <w:r>
        <w:t xml:space="preserve">Eutech Cybernetic</w:t>
      </w:r>
    </w:p>
    <w:p>
      <w:pPr>
        <w:pStyle w:val="FirstParagraph"/>
      </w:pPr>
      <w:r>
        <w:rPr>
          <w:b/>
          <w:bCs/>
        </w:rPr>
        <w:t xml:space="preserve">OEM Manager | Feb 1998 - Sep 1999</w:t>
      </w:r>
    </w:p>
    <w:p>
      <w:pPr>
        <w:pStyle w:val="Compact"/>
        <w:numPr>
          <w:ilvl w:val="0"/>
          <w:numId w:val="1012"/>
        </w:numPr>
      </w:pPr>
      <w:r>
        <w:t xml:space="preserve">Worked in the SCADA (Supervisory Control and Data Acquisition) division supporting intelligent building solutions.</w:t>
      </w:r>
    </w:p>
    <w:p>
      <w:pPr>
        <w:pStyle w:val="Compact"/>
        <w:numPr>
          <w:ilvl w:val="0"/>
          <w:numId w:val="1012"/>
        </w:numPr>
      </w:pPr>
      <w:r>
        <w:t xml:space="preserve">Managed software development delivery in Colombo, including SDLC and QA governance prior to Singapore release cycles.</w:t>
      </w:r>
    </w:p>
    <w:p>
      <w:pPr>
        <w:pStyle w:val="Compact"/>
        <w:numPr>
          <w:ilvl w:val="0"/>
          <w:numId w:val="1012"/>
        </w:numPr>
      </w:pPr>
      <w:r>
        <w:t xml:space="preserve">Provided technical leadership to the Colombo development team.</w:t>
      </w:r>
    </w:p>
    <w:bookmarkEnd w:id="23"/>
    <w:bookmarkEnd w:id="24"/>
    <w:bookmarkStart w:id="25" w:name="role-alignment"/>
    <w:p>
      <w:pPr>
        <w:pStyle w:val="Heading2"/>
      </w:pPr>
      <w:r>
        <w:t xml:space="preserve">Role Alignment</w:t>
      </w:r>
    </w:p>
    <w:p>
      <w:pPr>
        <w:pStyle w:val="Compact"/>
        <w:numPr>
          <w:ilvl w:val="0"/>
          <w:numId w:val="1013"/>
        </w:numPr>
      </w:pPr>
      <w:r>
        <w:t xml:space="preserve">Experienced in project-based environments requiring strong data governance, integration discipline, and measurable operational outcomes.</w:t>
      </w:r>
    </w:p>
    <w:p>
      <w:pPr>
        <w:pStyle w:val="Compact"/>
        <w:numPr>
          <w:ilvl w:val="0"/>
          <w:numId w:val="1013"/>
        </w:numPr>
      </w:pPr>
      <w:r>
        <w:t xml:space="preserve">Strong fit for senior individual contributor leadership roles reporting to executive stakeholders.</w:t>
      </w:r>
    </w:p>
    <w:p>
      <w:pPr>
        <w:pStyle w:val="Compact"/>
        <w:numPr>
          <w:ilvl w:val="0"/>
          <w:numId w:val="1013"/>
        </w:numPr>
      </w:pPr>
      <w:r>
        <w:t xml:space="preserve">Familiar with Australian data privacy and sovereignty expectations and governance-led data delivery approaches.</w:t>
      </w:r>
    </w:p>
    <w:p>
      <w:pPr>
        <w:pStyle w:val="Compact"/>
        <w:numPr>
          <w:ilvl w:val="0"/>
          <w:numId w:val="1013"/>
        </w:numPr>
      </w:pPr>
      <w:r>
        <w:t xml:space="preserve">Ready to lead integration across complex core business systems in CRM, Finance, HR/Payroll, and business applications.</w:t>
      </w:r>
    </w:p>
    <w:p>
      <w:pPr>
        <w:pStyle w:val="Compact"/>
        <w:numPr>
          <w:ilvl w:val="0"/>
          <w:numId w:val="1013"/>
        </w:numPr>
      </w:pPr>
      <w:r>
        <w:t xml:space="preserve">Early-career intelligent building technology delivery and long-term enterprise platform work provide transferable capability for construction and property-focused data environments.</w:t>
      </w:r>
    </w:p>
    <w:bookmarkEnd w:id="25"/>
    <w:bookmarkStart w:id="26" w:name="education"/>
    <w:p>
      <w:pPr>
        <w:pStyle w:val="Heading2"/>
      </w:pPr>
      <w:r>
        <w:t xml:space="preserve">Education</w:t>
      </w:r>
    </w:p>
    <w:p>
      <w:pPr>
        <w:pStyle w:val="Compact"/>
        <w:numPr>
          <w:ilvl w:val="0"/>
          <w:numId w:val="1014"/>
        </w:numPr>
      </w:pPr>
      <w:r>
        <w:t xml:space="preserve">MSc in Computer Science (First Class Honors)</w:t>
      </w:r>
    </w:p>
    <w:p>
      <w:pPr>
        <w:pStyle w:val="Compact"/>
        <w:numPr>
          <w:ilvl w:val="0"/>
          <w:numId w:val="1014"/>
        </w:numPr>
      </w:pPr>
      <w:r>
        <w:t xml:space="preserve">A/L (Double Maths, Physics, Chemistry) - Ananda College</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sudatha@gmail.com" TargetMode="External" /></Relationships>
</file>

<file path=word/_rels/footnotes.xml.rels><?xml version="1.0" encoding="UTF-8"?><Relationships xmlns="http://schemas.openxmlformats.org/package/2006/relationships"><Relationship Type="http://schemas.openxmlformats.org/officeDocument/2006/relationships/hyperlink" Id="rId9" Target="mailto:sudatha@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2026-03-04T09:14:59Z</dcterms:created>
  <dcterms:modified xsi:type="dcterms:W3CDTF">2026-03-04T09:14:59Z</dcterms:modified>
</cp:coreProperties>
</file>

<file path=docProps/custom.xml><?xml version="1.0" encoding="utf-8"?>
<Properties xmlns="http://schemas.openxmlformats.org/officeDocument/2006/custom-properties" xmlns:vt="http://schemas.openxmlformats.org/officeDocument/2006/docPropsVTypes"/>
</file>