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15+ years in data management, data engineering, and business intelligence roles, including senior leadership with strategic ownership.</w:t>
      </w:r>
    </w:p>
    <w:p>
      <w:pPr>
        <w:pStyle w:val="Compact"/>
        <w:numPr>
          <w:ilvl w:val="0"/>
          <w:numId w:val="1001"/>
        </w:numPr>
      </w:pPr>
      <w:r>
        <w:t xml:space="preserve">Proven Data Architect with Enterprise Architect-level capability across large-scale enterprise and government programs.</w:t>
      </w:r>
    </w:p>
    <w:p>
      <w:pPr>
        <w:pStyle w:val="Compact"/>
        <w:numPr>
          <w:ilvl w:val="0"/>
          <w:numId w:val="1001"/>
        </w:numPr>
      </w:pPr>
      <w:r>
        <w:t xml:space="preserve">Strong understanding of enterprise architecture frameworks and delivery of enterprise data architecture.</w:t>
      </w:r>
    </w:p>
    <w:p>
      <w:pPr>
        <w:pStyle w:val="Compact"/>
        <w:numPr>
          <w:ilvl w:val="0"/>
          <w:numId w:val="1001"/>
        </w:numPr>
      </w:pPr>
      <w:r>
        <w:t xml:space="preserve">Deep Microsoft capability across Microsoft Fabric, Azure Data Factory, Azure Synapse Analytics, Azure Data Lake Storage, Azure SQL.</w:t>
      </w:r>
    </w:p>
    <w:p>
      <w:pPr>
        <w:pStyle w:val="Compact"/>
        <w:numPr>
          <w:ilvl w:val="0"/>
          <w:numId w:val="1001"/>
        </w:numPr>
      </w:pPr>
      <w:r>
        <w:t xml:space="preserve">Practical architecture experience across Dynamics 365 CE, Dataverse, and Dynamics 365 Finance &amp; Operations, including data models, integration, and reporting.</w:t>
      </w:r>
    </w:p>
    <w:p>
      <w:pPr>
        <w:pStyle w:val="Compact"/>
        <w:numPr>
          <w:ilvl w:val="0"/>
          <w:numId w:val="1001"/>
        </w:numPr>
      </w:pPr>
      <w:r>
        <w:t xml:space="preserve">Proficient in Power Platform delivery with Power BI, Power Automate, and Power Apps for no-code/low-code use cases.</w:t>
      </w:r>
    </w:p>
    <w:p>
      <w:pPr>
        <w:pStyle w:val="Compact"/>
        <w:numPr>
          <w:ilvl w:val="0"/>
          <w:numId w:val="1001"/>
        </w:numPr>
      </w:pPr>
      <w:r>
        <w:t xml:space="preserve">Established governance standards spanning metadata management, data lineage, data quality standards, security, privacy, and access management.</w:t>
      </w:r>
    </w:p>
    <w:p>
      <w:pPr>
        <w:pStyle w:val="Compact"/>
        <w:numPr>
          <w:ilvl w:val="0"/>
          <w:numId w:val="1001"/>
        </w:numPr>
      </w:pPr>
      <w:r>
        <w:t xml:space="preserve">Designed integration patterns and reference architectures connecting third-party systems and external data sources to scalable data solutions and AI-driven insights.</w:t>
      </w:r>
      <w:r>
        <w:t xml:space="preserve"> </w:t>
      </w:r>
      <w:r>
        <w:t xml:space="preserve">## Professional Summary</w:t>
      </w:r>
      <w:r>
        <w:t xml:space="preserve"> </w:t>
      </w:r>
      <w:r>
        <w:t xml:space="preserve">Strategic and hands-on data leader with 15+ years of experience delivering enterprise data architecture, integration, and analytics platforms across Australia and New Zealand. Tertiary qualifications in Computer Science, with a track record operating as a Data Architect across complex transformation environments requiring clear architecture governance and business alignment. Strong capability in Microsoft Dynamics and Azure ecosystems, and effective at partnering with business stakeholders to translate requirements into scalable data solutions. Collaborative working style across solution architects, application teams, and infrastructure specialists to deliver practical, high-value outcomes.</w:t>
      </w:r>
      <w:r>
        <w:t xml:space="preserve"> </w:t>
      </w:r>
      <w:r>
        <w:t xml:space="preserve">## Core Competencies</w:t>
      </w:r>
    </w:p>
    <w:p>
      <w:pPr>
        <w:pStyle w:val="Compact"/>
        <w:numPr>
          <w:ilvl w:val="0"/>
          <w:numId w:val="1001"/>
        </w:numPr>
      </w:pPr>
      <w:r>
        <w:t xml:space="preserve">Enterprise Data Architecture and TOGAF-Aligned Design</w:t>
      </w:r>
    </w:p>
    <w:p>
      <w:pPr>
        <w:pStyle w:val="Compact"/>
        <w:numPr>
          <w:ilvl w:val="0"/>
          <w:numId w:val="1001"/>
        </w:numPr>
      </w:pPr>
      <w:r>
        <w:t xml:space="preserve">Data Strategy, Roadmap Development, and Architecture Governance</w:t>
      </w:r>
    </w:p>
    <w:p>
      <w:pPr>
        <w:pStyle w:val="Compact"/>
        <w:numPr>
          <w:ilvl w:val="0"/>
          <w:numId w:val="1001"/>
        </w:numPr>
      </w:pPr>
      <w:r>
        <w:t xml:space="preserve">Enterprise Architecture Frameworks and Reference Architectures</w:t>
      </w:r>
    </w:p>
    <w:p>
      <w:pPr>
        <w:pStyle w:val="Compact"/>
        <w:numPr>
          <w:ilvl w:val="0"/>
          <w:numId w:val="1001"/>
        </w:numPr>
      </w:pPr>
      <w:r>
        <w:t xml:space="preserve">Dynamics 365 CE, Dataverse, and Dynamics 365 Finance &amp; Operations Data Integration</w:t>
      </w:r>
    </w:p>
    <w:p>
      <w:pPr>
        <w:pStyle w:val="Compact"/>
        <w:numPr>
          <w:ilvl w:val="0"/>
          <w:numId w:val="1001"/>
        </w:numPr>
      </w:pPr>
      <w:r>
        <w:t xml:space="preserve">Azure Data Services: Microsoft Fabric, Azure Data Factory, Azure Synapse Analytics, Azure Data Lake Storage, Azure SQL, Cosmos DB</w:t>
      </w:r>
    </w:p>
    <w:p>
      <w:pPr>
        <w:pStyle w:val="Compact"/>
        <w:numPr>
          <w:ilvl w:val="0"/>
          <w:numId w:val="1001"/>
        </w:numPr>
      </w:pPr>
      <w:r>
        <w:t xml:space="preserve">Data Models, Integration Patterns, and Reporting Enablement</w:t>
      </w:r>
    </w:p>
    <w:p>
      <w:pPr>
        <w:pStyle w:val="Compact"/>
        <w:numPr>
          <w:ilvl w:val="0"/>
          <w:numId w:val="1001"/>
        </w:numPr>
      </w:pPr>
      <w:r>
        <w:t xml:space="preserve">Power Platform Delivery: Power BI, Power Automate, Power Apps, no-code/low-code solutions</w:t>
      </w:r>
    </w:p>
    <w:p>
      <w:pPr>
        <w:pStyle w:val="Compact"/>
        <w:numPr>
          <w:ilvl w:val="0"/>
          <w:numId w:val="1001"/>
        </w:numPr>
      </w:pPr>
      <w:r>
        <w:t xml:space="preserve">Data Governance, Metadata Management, Data Lineage, and Data Quality Standards</w:t>
      </w:r>
    </w:p>
    <w:p>
      <w:pPr>
        <w:pStyle w:val="Compact"/>
        <w:numPr>
          <w:ilvl w:val="0"/>
          <w:numId w:val="1001"/>
        </w:numPr>
      </w:pPr>
      <w:r>
        <w:t xml:space="preserve">Security, Privacy, and Access Management Controls</w:t>
      </w:r>
    </w:p>
    <w:p>
      <w:pPr>
        <w:pStyle w:val="Compact"/>
        <w:numPr>
          <w:ilvl w:val="0"/>
          <w:numId w:val="1001"/>
        </w:numPr>
      </w:pPr>
      <w:r>
        <w:t xml:space="preserve">Third-Party Systems and External Data Sources Integration</w:t>
      </w:r>
    </w:p>
    <w:p>
      <w:pPr>
        <w:pStyle w:val="Compact"/>
        <w:numPr>
          <w:ilvl w:val="0"/>
          <w:numId w:val="1001"/>
        </w:numPr>
      </w:pPr>
      <w:r>
        <w:t xml:space="preserve">Stakeholder Engagement and Scalable Data Solutions Delivery</w:t>
      </w:r>
      <w:r>
        <w:t xml:space="preserve"> </w:t>
      </w:r>
      <w:r>
        <w:t xml:space="preserve">## Technical Skills</w:t>
      </w:r>
    </w:p>
    <w:p>
      <w:pPr>
        <w:pStyle w:val="Compact"/>
        <w:numPr>
          <w:ilvl w:val="0"/>
          <w:numId w:val="1001"/>
        </w:numPr>
      </w:pPr>
      <w:r>
        <w:t xml:space="preserve">Power BI: DAX, Power Query, dataflows, semantic models, calculation groups, deployment pipelines, performance tuning</w:t>
      </w:r>
    </w:p>
    <w:p>
      <w:pPr>
        <w:pStyle w:val="Compact"/>
        <w:numPr>
          <w:ilvl w:val="0"/>
          <w:numId w:val="1001"/>
        </w:numPr>
      </w:pPr>
      <w:r>
        <w:t xml:space="preserve">SQL Server: T-SQL, SSIS, SSAS, stored procedures, performance optimization</w:t>
      </w:r>
    </w:p>
    <w:p>
      <w:pPr>
        <w:pStyle w:val="Compact"/>
        <w:numPr>
          <w:ilvl w:val="0"/>
          <w:numId w:val="1001"/>
        </w:numPr>
      </w:pPr>
      <w:r>
        <w:t xml:space="preserve">Data Engineering: ETL/ELT, Azure Data Factory, SSIS, SQL, Python automation</w:t>
      </w:r>
    </w:p>
    <w:p>
      <w:pPr>
        <w:pStyle w:val="Compact"/>
        <w:numPr>
          <w:ilvl w:val="0"/>
          <w:numId w:val="1001"/>
        </w:numPr>
      </w:pPr>
      <w:r>
        <w:t xml:space="preserve">Data Warehousing: Dimensional modeling, fact tables, slowly changing dimensions, medallion architecture</w:t>
      </w:r>
    </w:p>
    <w:p>
      <w:pPr>
        <w:pStyle w:val="Compact"/>
        <w:numPr>
          <w:ilvl w:val="0"/>
          <w:numId w:val="1001"/>
        </w:numPr>
      </w:pPr>
      <w:r>
        <w:t xml:space="preserve">Cloud and Platforms: Microsoft Azure, Azure SQL, Azure Synapse, Microsoft Fabric, Event Hub</w:t>
      </w:r>
    </w:p>
    <w:p>
      <w:pPr>
        <w:pStyle w:val="Compact"/>
        <w:numPr>
          <w:ilvl w:val="0"/>
          <w:numId w:val="1001"/>
        </w:numPr>
      </w:pPr>
      <w:r>
        <w:t xml:space="preserve">Integration: API integration, REST/SOAP web services, middleware and enterprise data flow design</w:t>
      </w:r>
    </w:p>
    <w:p>
      <w:pPr>
        <w:pStyle w:val="Compact"/>
        <w:numPr>
          <w:ilvl w:val="0"/>
          <w:numId w:val="1001"/>
        </w:numPr>
      </w:pPr>
      <w:r>
        <w:t xml:space="preserve">Governance and Operations: Data quality monitoring and alerting, metadata and lineage controls, lifecycle and retention practices</w:t>
      </w:r>
    </w:p>
    <w:bookmarkEnd w:id="10"/>
    <w:bookmarkStart w:id="20" w:name="professional-experience"/>
    <w:p>
      <w:pPr>
        <w:pStyle w:val="Heading2"/>
      </w:pPr>
      <w:r>
        <w:t xml:space="preserve">Professional Experience</w:t>
      </w:r>
    </w:p>
    <w:bookmarkStart w:id="11"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1"/>
    <w:bookmarkStart w:id="12"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2"/>
    <w:bookmarkStart w:id="13"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3"/>
    <w:bookmarkStart w:id="14"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4"/>
    <w:bookmarkStart w:id="15"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5"/>
    <w:bookmarkStart w:id="16"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6"/>
    <w:bookmarkStart w:id="17"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17"/>
    <w:bookmarkStart w:id="18"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18"/>
    <w:bookmarkStart w:id="19"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19"/>
    <w:bookmarkEnd w:id="20"/>
    <w:bookmarkStart w:id="21" w:name="role-alignment"/>
    <w:p>
      <w:pPr>
        <w:pStyle w:val="Heading2"/>
      </w:pPr>
      <w:r>
        <w:t xml:space="preserve">Role Alignment</w:t>
      </w:r>
    </w:p>
    <w:p>
      <w:pPr>
        <w:pStyle w:val="Compact"/>
        <w:numPr>
          <w:ilvl w:val="0"/>
          <w:numId w:val="1002"/>
        </w:numPr>
      </w:pPr>
      <w:r>
        <w:t xml:space="preserve">Experienced in project-based environments requiring strong data governance, integration discipline, and measurable operational outcomes.</w:t>
      </w:r>
    </w:p>
    <w:p>
      <w:pPr>
        <w:pStyle w:val="Compact"/>
        <w:numPr>
          <w:ilvl w:val="0"/>
          <w:numId w:val="1002"/>
        </w:numPr>
      </w:pPr>
      <w:r>
        <w:t xml:space="preserve">Strong fit for senior individual contributor leadership roles reporting to executive stakeholders.</w:t>
      </w:r>
    </w:p>
    <w:p>
      <w:pPr>
        <w:pStyle w:val="Compact"/>
        <w:numPr>
          <w:ilvl w:val="0"/>
          <w:numId w:val="1002"/>
        </w:numPr>
      </w:pPr>
      <w:r>
        <w:t xml:space="preserve">Familiar with Australian data privacy and sovereignty expectations and governance-led data delivery approaches.</w:t>
      </w:r>
    </w:p>
    <w:p>
      <w:pPr>
        <w:pStyle w:val="Compact"/>
        <w:numPr>
          <w:ilvl w:val="0"/>
          <w:numId w:val="1002"/>
        </w:numPr>
      </w:pPr>
      <w:r>
        <w:t xml:space="preserve">Ready to lead integration across complex core business systems in CRM, Finance, HR/Payroll, and business applications.</w:t>
      </w:r>
    </w:p>
    <w:p>
      <w:pPr>
        <w:pStyle w:val="Compact"/>
        <w:numPr>
          <w:ilvl w:val="0"/>
          <w:numId w:val="1002"/>
        </w:numPr>
      </w:pPr>
      <w:r>
        <w:t xml:space="preserve">Early-career intelligent building technology delivery and long-term enterprise platform work provide transferable capability for construction and property-focused data environments.</w:t>
      </w:r>
    </w:p>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2026-03-04T09:07:54Z</dcterms:created>
  <dcterms:modified xsi:type="dcterms:W3CDTF">2026-03-04T09:07:54Z</dcterms:modified>
</cp:coreProperties>
</file>

<file path=docProps/custom.xml><?xml version="1.0" encoding="utf-8"?>
<Properties xmlns="http://schemas.openxmlformats.org/officeDocument/2006/custom-properties" xmlns:vt="http://schemas.openxmlformats.org/officeDocument/2006/docPropsVTypes"/>
</file>