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udath-attanayake"/>
    <w:p>
      <w:pPr>
        <w:pStyle w:val="Heading1"/>
      </w:pPr>
      <w:r>
        <w:t xml:space="preserve">Sudath Attanayake</w:t>
      </w:r>
    </w:p>
    <w:p>
      <w:pPr>
        <w:pStyle w:val="FirstParagraph"/>
      </w:pPr>
      <w:r>
        <w:t xml:space="preserve">Melbourne, VIC, Australia | Available for Alfred Health hybrid and onsite roles</w:t>
      </w:r>
      <w:r>
        <w:t xml:space="preserve"> </w:t>
      </w:r>
      <w:r>
        <w:t xml:space="preserve">LinkedIn: linkedin.com/in/sudath-attanayake | Email: sudatha@gmail.com | Phone: 0411040055</w:t>
      </w:r>
    </w:p>
    <w:bookmarkStart w:id="9" w:name="senior-hris-data-migration-lead"/>
    <w:p>
      <w:pPr>
        <w:pStyle w:val="Heading2"/>
      </w:pPr>
      <w:r>
        <w:t xml:space="preserve">Senior HRIS Data Migration Lead</w:t>
      </w:r>
    </w:p>
    <w:bookmarkEnd w:id="9"/>
    <w:bookmarkStart w:id="10" w:name="key-highlights"/>
    <w:p>
      <w:pPr>
        <w:pStyle w:val="Heading2"/>
      </w:pPr>
      <w:r>
        <w:t xml:space="preserve">Key Highlights</w:t>
      </w:r>
    </w:p>
    <w:p>
      <w:pPr>
        <w:pStyle w:val="Compact"/>
        <w:numPr>
          <w:ilvl w:val="0"/>
          <w:numId w:val="1001"/>
        </w:numPr>
      </w:pPr>
      <w:r>
        <w:t xml:space="preserve">15+ years in data management, data engineering, and business intelligence roles, including senior leadership with strategic ownership.</w:t>
      </w:r>
    </w:p>
    <w:p>
      <w:pPr>
        <w:pStyle w:val="Compact"/>
        <w:numPr>
          <w:ilvl w:val="0"/>
          <w:numId w:val="1001"/>
        </w:numPr>
      </w:pPr>
      <w:r>
        <w:t xml:space="preserve">Built and modernized enterprise data warehouse and lakehouse platforms using Azure and Microsoft Fabric, including bronze, silver, and gold data tier architecture and Delta Lake design patterns.</w:t>
      </w:r>
    </w:p>
    <w:p>
      <w:pPr>
        <w:pStyle w:val="Compact"/>
        <w:numPr>
          <w:ilvl w:val="0"/>
          <w:numId w:val="1001"/>
        </w:numPr>
      </w:pPr>
      <w:r>
        <w:t xml:space="preserve">Designed and governed ETL/ELT pipelines across complex source systems, with batch and near real-time integration patterns.</w:t>
      </w:r>
    </w:p>
    <w:p>
      <w:pPr>
        <w:pStyle w:val="Compact"/>
        <w:numPr>
          <w:ilvl w:val="0"/>
          <w:numId w:val="1001"/>
        </w:numPr>
      </w:pPr>
      <w:r>
        <w:t xml:space="preserve">Strong master data management focus, including data ownership, stewardship, single source of truth design, and data quality standards.</w:t>
      </w:r>
    </w:p>
    <w:p>
      <w:pPr>
        <w:pStyle w:val="Compact"/>
        <w:numPr>
          <w:ilvl w:val="0"/>
          <w:numId w:val="1001"/>
        </w:numPr>
      </w:pPr>
      <w:r>
        <w:t xml:space="preserve">Strong knowledge of healthcare systems and data standards, applied in HRIS and enterprise platform migration programs.</w:t>
      </w:r>
    </w:p>
    <w:p>
      <w:pPr>
        <w:pStyle w:val="Compact"/>
        <w:numPr>
          <w:ilvl w:val="0"/>
          <w:numId w:val="1001"/>
        </w:numPr>
      </w:pPr>
      <w:r>
        <w:t xml:space="preserve">Advanced Power BI capability across DAX, semantic models, Power Query, dataflows, deployment pipelines, refresh governance, and performance optimization.</w:t>
      </w:r>
    </w:p>
    <w:p>
      <w:pPr>
        <w:pStyle w:val="Compact"/>
        <w:numPr>
          <w:ilvl w:val="0"/>
          <w:numId w:val="1001"/>
        </w:numPr>
      </w:pPr>
      <w:r>
        <w:t xml:space="preserve">Led system integration and migration workstreams with vendors and business stakeholders, supported by strong documentation, runbooks, and testing frameworks.</w:t>
      </w:r>
    </w:p>
    <w:p>
      <w:pPr>
        <w:pStyle w:val="Compact"/>
        <w:numPr>
          <w:ilvl w:val="0"/>
          <w:numId w:val="1001"/>
        </w:numPr>
      </w:pPr>
      <w:r>
        <w:t xml:space="preserve">Delivered HRIS migration programs using strong data mapping, data cleansing, error visibility, post-migration reconciliation, and live cutover controls.</w:t>
      </w:r>
    </w:p>
    <w:p>
      <w:pPr>
        <w:pStyle w:val="Compact"/>
        <w:numPr>
          <w:ilvl w:val="0"/>
          <w:numId w:val="1001"/>
        </w:numPr>
      </w:pPr>
      <w:r>
        <w:t xml:space="preserve">Delivered end-to-end data migrations between source and target software platforms, ensuring structure, quality, and business-rule alignment across both systems.</w:t>
      </w:r>
    </w:p>
    <w:bookmarkEnd w:id="10"/>
    <w:bookmarkStart w:id="11" w:name="professional-summary"/>
    <w:p>
      <w:pPr>
        <w:pStyle w:val="Heading2"/>
      </w:pPr>
      <w:r>
        <w:t xml:space="preserve">Professional Summary</w:t>
      </w:r>
    </w:p>
    <w:p>
      <w:pPr>
        <w:pStyle w:val="FirstParagraph"/>
      </w:pPr>
      <w:r>
        <w:t xml:space="preserve">Strategic and hands-on data leader with 15+ years of experience delivering enterprise data architecture, integration, analytics platforms, and data migration programs across Australia and New Zealand. Proven track record defining target-state architecture, establishing governance frameworks, and improving operational decision-making through trusted data. Deep expertise in SQL Server, T-SQL, SSIS, ETL/ELT orchestration, dimensional modeling, Power BI enterprise delivery, API integration (REST/SOAP), and Azure services including Data Factory, Synapse, and Microsoft Fabric. Strong at translating business needs into practical technical solutions, partnering with CIO and senior stakeholders, and operating autonomously in individual contributor leadership roles. Experienced in HRIS migration delivery across healthcare entities, including data extraction, data transformation, and data loading, reconciliation, and production cutover patterns transferable to SuccessFactors environments. Proven in defining data migration strategies and plans, including execution-ready data migration plans for complex cross-system programs.</w:t>
      </w:r>
    </w:p>
    <w:bookmarkEnd w:id="11"/>
    <w:bookmarkStart w:id="12" w:name="core-competencies"/>
    <w:p>
      <w:pPr>
        <w:pStyle w:val="Heading2"/>
      </w:pPr>
      <w:r>
        <w:t xml:space="preserve">Core Competencies</w:t>
      </w:r>
    </w:p>
    <w:p>
      <w:pPr>
        <w:pStyle w:val="Compact"/>
        <w:numPr>
          <w:ilvl w:val="0"/>
          <w:numId w:val="1002"/>
        </w:numPr>
      </w:pPr>
      <w:r>
        <w:t xml:space="preserve">Enterprise Data Strategy and Architecture Ownership</w:t>
      </w:r>
    </w:p>
    <w:p>
      <w:pPr>
        <w:pStyle w:val="Compact"/>
        <w:numPr>
          <w:ilvl w:val="0"/>
          <w:numId w:val="1002"/>
        </w:numPr>
      </w:pPr>
      <w:r>
        <w:t xml:space="preserve">Master Data Management (MDM) and Single Source of Truth</w:t>
      </w:r>
    </w:p>
    <w:p>
      <w:pPr>
        <w:pStyle w:val="Compact"/>
        <w:numPr>
          <w:ilvl w:val="0"/>
          <w:numId w:val="1002"/>
        </w:numPr>
      </w:pPr>
      <w:r>
        <w:t xml:space="preserve">Data Governance, Stewardship, Data Quality, and Validation Rules</w:t>
      </w:r>
    </w:p>
    <w:p>
      <w:pPr>
        <w:pStyle w:val="Compact"/>
        <w:numPr>
          <w:ilvl w:val="0"/>
          <w:numId w:val="1002"/>
        </w:numPr>
      </w:pPr>
      <w:r>
        <w:t xml:space="preserve">Data Lineage, Metadata Cataloguing, and Integration Documentation</w:t>
      </w:r>
    </w:p>
    <w:p>
      <w:pPr>
        <w:pStyle w:val="Compact"/>
        <w:numPr>
          <w:ilvl w:val="0"/>
          <w:numId w:val="1002"/>
        </w:numPr>
      </w:pPr>
      <w:r>
        <w:t xml:space="preserve">Enterprise Data Warehouse and Lakehouse Design</w:t>
      </w:r>
    </w:p>
    <w:p>
      <w:pPr>
        <w:pStyle w:val="Compact"/>
        <w:numPr>
          <w:ilvl w:val="0"/>
          <w:numId w:val="1002"/>
        </w:numPr>
      </w:pPr>
      <w:r>
        <w:t xml:space="preserve">Dimensional Modeling, Fact Tables, and Slowly Changing Dimensions</w:t>
      </w:r>
    </w:p>
    <w:p>
      <w:pPr>
        <w:pStyle w:val="Compact"/>
        <w:numPr>
          <w:ilvl w:val="0"/>
          <w:numId w:val="1002"/>
        </w:numPr>
      </w:pPr>
      <w:r>
        <w:t xml:space="preserve">ETL/ELT Pipeline Development, Orchestration, and Monitoring</w:t>
      </w:r>
    </w:p>
    <w:p>
      <w:pPr>
        <w:pStyle w:val="Compact"/>
        <w:numPr>
          <w:ilvl w:val="0"/>
          <w:numId w:val="1002"/>
        </w:numPr>
      </w:pPr>
      <w:r>
        <w:t xml:space="preserve">Real-Time and Batch Data Integration Patterns</w:t>
      </w:r>
    </w:p>
    <w:p>
      <w:pPr>
        <w:pStyle w:val="Compact"/>
        <w:numPr>
          <w:ilvl w:val="0"/>
          <w:numId w:val="1002"/>
        </w:numPr>
      </w:pPr>
      <w:r>
        <w:t xml:space="preserve">Power BI Enterprise Delivery and Self-Service Analytics Enablement</w:t>
      </w:r>
    </w:p>
    <w:p>
      <w:pPr>
        <w:pStyle w:val="Compact"/>
        <w:numPr>
          <w:ilvl w:val="0"/>
          <w:numId w:val="1002"/>
        </w:numPr>
      </w:pPr>
      <w:r>
        <w:t xml:space="preserve">Data Migration Strategy, Data Mapping, and Data Cleansing Frameworks</w:t>
      </w:r>
    </w:p>
    <w:p>
      <w:pPr>
        <w:pStyle w:val="Compact"/>
        <w:numPr>
          <w:ilvl w:val="0"/>
          <w:numId w:val="1002"/>
        </w:numPr>
      </w:pPr>
      <w:r>
        <w:t xml:space="preserve">Error Handling, Exception Visibility, and Reconciliation Controls</w:t>
      </w:r>
    </w:p>
    <w:p>
      <w:pPr>
        <w:pStyle w:val="Compact"/>
        <w:numPr>
          <w:ilvl w:val="0"/>
          <w:numId w:val="1002"/>
        </w:numPr>
      </w:pPr>
      <w:r>
        <w:t xml:space="preserve">Live Cutover Planning, Stakeholder Management, and Vendor Coordination</w:t>
      </w:r>
    </w:p>
    <w:bookmarkEnd w:id="12"/>
    <w:bookmarkStart w:id="13" w:name="technical-skills"/>
    <w:p>
      <w:pPr>
        <w:pStyle w:val="Heading2"/>
      </w:pPr>
      <w:r>
        <w:t xml:space="preserve">Technical Skills</w:t>
      </w:r>
    </w:p>
    <w:p>
      <w:pPr>
        <w:pStyle w:val="Compact"/>
        <w:numPr>
          <w:ilvl w:val="0"/>
          <w:numId w:val="1003"/>
        </w:numPr>
      </w:pPr>
      <w:r>
        <w:t xml:space="preserve">Power BI: DAX, Power Query, dataflows, semantic models, calculation groups, deployment pipelines, performance tuning</w:t>
      </w:r>
    </w:p>
    <w:p>
      <w:pPr>
        <w:pStyle w:val="Compact"/>
        <w:numPr>
          <w:ilvl w:val="0"/>
          <w:numId w:val="1003"/>
        </w:numPr>
      </w:pPr>
      <w:r>
        <w:t xml:space="preserve">SQL Server: T-SQL, SSIS, SSAS, stored procedures, performance optimization</w:t>
      </w:r>
    </w:p>
    <w:p>
      <w:pPr>
        <w:pStyle w:val="Compact"/>
        <w:numPr>
          <w:ilvl w:val="0"/>
          <w:numId w:val="1003"/>
        </w:numPr>
      </w:pPr>
      <w:r>
        <w:t xml:space="preserve">Data Engineering: ETL/ELT, Azure Data Factory, SSIS, SQL, Python automation</w:t>
      </w:r>
    </w:p>
    <w:p>
      <w:pPr>
        <w:pStyle w:val="Compact"/>
        <w:numPr>
          <w:ilvl w:val="0"/>
          <w:numId w:val="1003"/>
        </w:numPr>
      </w:pPr>
      <w:r>
        <w:t xml:space="preserve">Data Warehousing: Dimensional modeling, fact tables, slowly changing dimensions, medallion architecture, Delta Lake patterns</w:t>
      </w:r>
    </w:p>
    <w:p>
      <w:pPr>
        <w:pStyle w:val="Compact"/>
        <w:numPr>
          <w:ilvl w:val="0"/>
          <w:numId w:val="1003"/>
        </w:numPr>
      </w:pPr>
      <w:r>
        <w:t xml:space="preserve">Cloud and Platforms: Microsoft Azure, Azure SQL, Azure Synapse, Microsoft Fabric, Event Hub</w:t>
      </w:r>
    </w:p>
    <w:p>
      <w:pPr>
        <w:pStyle w:val="Compact"/>
        <w:numPr>
          <w:ilvl w:val="0"/>
          <w:numId w:val="1003"/>
        </w:numPr>
      </w:pPr>
      <w:r>
        <w:t xml:space="preserve">Integration: API integration, REST/SOAP web services, middleware and enterprise data flow design</w:t>
      </w:r>
    </w:p>
    <w:p>
      <w:pPr>
        <w:pStyle w:val="Compact"/>
        <w:numPr>
          <w:ilvl w:val="0"/>
          <w:numId w:val="1003"/>
        </w:numPr>
      </w:pPr>
      <w:r>
        <w:t xml:space="preserve">Governance and Operations: Data quality monitoring and alerting, metadata and lineage controls, lifecycle and retention practices</w:t>
      </w:r>
    </w:p>
    <w:bookmarkEnd w:id="13"/>
    <w:bookmarkStart w:id="23" w:name="professional-experience"/>
    <w:p>
      <w:pPr>
        <w:pStyle w:val="Heading2"/>
      </w:pPr>
      <w:r>
        <w:t xml:space="preserve">Professional Experience</w:t>
      </w:r>
    </w:p>
    <w:bookmarkStart w:id="14"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Led enterprise data and integration architecture in a hands-on strategic role, partnering with business and technology stakeholders.</w:t>
      </w:r>
      <w:r>
        <w:t xml:space="preserve"> </w:t>
      </w:r>
      <w:r>
        <w:t xml:space="preserve">- Defined governance standards for data ownership, stewardship, quality controls, and platform delivery guardrails.</w:t>
      </w:r>
      <w:r>
        <w:t xml:space="preserve"> </w:t>
      </w:r>
      <w:r>
        <w:t xml:space="preserve">- Implemented Microsoft Fabric medallion architecture (bronze, silver, gold) to improve data ingestion reliability and analytics readiness.</w:t>
      </w:r>
      <w:r>
        <w:t xml:space="preserve"> </w:t>
      </w:r>
      <w:r>
        <w:t xml:space="preserve">- Designed ETL/ELT patterns for multiple source systems, including standardized transformation approaches and operational monitoring.</w:t>
      </w:r>
      <w:r>
        <w:t xml:space="preserve"> </w:t>
      </w:r>
      <w:r>
        <w:t xml:space="preserve">- Improved data quality through validation controls, monitoring, and alerting frameworks across critical pipelines.</w:t>
      </w:r>
      <w:r>
        <w:t xml:space="preserve"> </w:t>
      </w:r>
      <w:r>
        <w:t xml:space="preserve">- Strengthened Power BI delivery through DAX optimization, semantic model uplift, refresh schedule governance, and performance tuning.</w:t>
      </w:r>
      <w:r>
        <w:t xml:space="preserve"> </w:t>
      </w:r>
      <w:r>
        <w:t xml:space="preserve">- Produced architecture documentation, data flow views, and runbooks to improve supportability and operational continuity.</w:t>
      </w:r>
    </w:p>
    <w:bookmarkEnd w:id="14"/>
    <w:bookmarkStart w:id="15"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r>
        <w:t xml:space="preserve"> </w:t>
      </w:r>
      <w:r>
        <w:t xml:space="preserve">- Owned data and integration architecture across 250+ endpoints, with strategic direction for modernization and enterprise reporting.</w:t>
      </w:r>
      <w:r>
        <w:t xml:space="preserve"> </w:t>
      </w:r>
      <w:r>
        <w:t xml:space="preserve">- Appointed Data Migration Lead for HRIS and payroll data migration to Dayforce SaaS and D365 F&amp;O-aligned environments where relevant.</w:t>
      </w:r>
      <w:r>
        <w:t xml:space="preserve"> </w:t>
      </w:r>
      <w:r>
        <w:t xml:space="preserve">- Led migration of HRIS data from Aurion, MYOB, Maven Dental (Aurion), PayGlobal (Lumino the Dentists), enableHR, and Deputy across Abano entities including 1300Smiles.</w:t>
      </w:r>
      <w:r>
        <w:t xml:space="preserve"> </w:t>
      </w:r>
      <w:r>
        <w:t xml:space="preserve">- Delivered this multi-entity HRIS migration cleanly and successfully across multiple HRIS source platforms into target SaaS environments.</w:t>
      </w:r>
      <w:r>
        <w:t xml:space="preserve"> </w:t>
      </w:r>
      <w:r>
        <w:t xml:space="preserve">- Led a hands-on migration pod with a junior developer, producing source-to-target data mapping, transformation rules, and test evidence.</w:t>
      </w:r>
      <w:r>
        <w:t xml:space="preserve"> </w:t>
      </w:r>
      <w:r>
        <w:t xml:space="preserve">- Coordinated ETL cycles for data extraction, data transformation, and data loading with delivery vendors and business stakeholders, including mock loads and production live cutover.</w:t>
      </w:r>
      <w:r>
        <w:t xml:space="preserve"> </w:t>
      </w:r>
      <w:r>
        <w:t xml:space="preserve">- Conducted data quality assessments and data cleansing processes to resolve duplicates, invalid values, and structural inconsistencies before load.</w:t>
      </w:r>
      <w:r>
        <w:t xml:space="preserve"> </w:t>
      </w:r>
      <w:r>
        <w:t xml:space="preserve">- Implemented error handling and exception visibility controls to identify failed records early, speed remediation, and improve rerun success.</w:t>
      </w:r>
      <w:r>
        <w:t xml:space="preserve"> </w:t>
      </w:r>
      <w:r>
        <w:t xml:space="preserve">- Executed post-migration reconciliation to source systems using row counts, control totals, and business-rule validation to confirm migration completeness and accuracy.</w:t>
      </w:r>
      <w:r>
        <w:t xml:space="preserve"> </w:t>
      </w:r>
      <w:r>
        <w:t xml:space="preserve">- Performed careful impact and risk assessments for each change across connected systems and served as a senior member of the Change Advisory Committee (CAB).</w:t>
      </w:r>
      <w:r>
        <w:t xml:space="preserve"> </w:t>
      </w:r>
      <w:r>
        <w:t xml:space="preserve">- Uplifted Power BI standards across semantic model design, DAX quality, deployment governance, and self-service analytics.</w:t>
      </w:r>
    </w:p>
    <w:bookmarkEnd w:id="15"/>
    <w:bookmarkStart w:id="16"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SQL Server reliability, resilience, and performance across business-critical platforms.</w:t>
      </w:r>
      <w:r>
        <w:t xml:space="preserve"> </w:t>
      </w:r>
      <w:r>
        <w:t xml:space="preserve">- Supported integration-heavy delivery programs and contributed to enterprise system implementation workstreams.</w:t>
      </w:r>
      <w:r>
        <w:t xml:space="preserve"> </w:t>
      </w:r>
      <w:r>
        <w:t xml:space="preserve">- Provided technical leadership for operational governance, lifecycle controls, and platform support standards.</w:t>
      </w:r>
    </w:p>
    <w:bookmarkEnd w:id="16"/>
    <w:bookmarkStart w:id="17"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Primary DBA for New Zealand’s national e-Prescription platform in a high-availability regulated environment.</w:t>
      </w:r>
      <w:r>
        <w:t xml:space="preserve"> </w:t>
      </w:r>
      <w:r>
        <w:t xml:space="preserve">- Led 8 TB SQL Server to Azure migration with staged testing, validation, and controlled cutover.</w:t>
      </w:r>
      <w:r>
        <w:t xml:space="preserve"> </w:t>
      </w:r>
      <w:r>
        <w:t xml:space="preserve">- Led data migration and integration workstreams for system implementations across enterprise healthcare contexts.</w:t>
      </w:r>
      <w:r>
        <w:t xml:space="preserve"> </w:t>
      </w:r>
      <w:r>
        <w:t xml:space="preserve">- Implemented retention, archival, and operational governance practices to support compliance and long-term platform stability.</w:t>
      </w:r>
    </w:p>
    <w:bookmarkEnd w:id="17"/>
    <w:bookmarkStart w:id="18"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Delivered integration and reporting data services to support operational and ministry-aligned outcomes.</w:t>
      </w:r>
      <w:r>
        <w:t xml:space="preserve"> </w:t>
      </w:r>
      <w:r>
        <w:t xml:space="preserve">- Built and maintained SQL-based ETL processes and business logic for dependable reporting.</w:t>
      </w:r>
    </w:p>
    <w:bookmarkEnd w:id="18"/>
    <w:bookmarkStart w:id="19"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Led Council Property and Rating, plus Finance system migration to the TechnologyOne platform.</w:t>
      </w:r>
      <w:r>
        <w:t xml:space="preserve"> </w:t>
      </w:r>
      <w:r>
        <w:t xml:space="preserve">- Built a bespoke SSIS-based migration framework to extract, transform, and load legacy local government data into TechnologyOne.</w:t>
      </w:r>
      <w:r>
        <w:t xml:space="preserve"> </w:t>
      </w:r>
      <w:r>
        <w:t xml:space="preserve">- Defined source-to-target data mapping, cleansing rules, and validation checks with business SMEs across Property, Rating, and Finance.</w:t>
      </w:r>
      <w:r>
        <w:t xml:space="preserve"> </w:t>
      </w:r>
      <w:r>
        <w:t xml:space="preserve">- Implemented error handling and migration visibility controls to isolate rejected records, track defects, and support repeatable reloads.</w:t>
      </w:r>
      <w:r>
        <w:t xml:space="preserve"> </w:t>
      </w:r>
      <w:r>
        <w:t xml:space="preserve">- Managed post-migration reconciliation to source systems and executed live cutover, UAT, and go-live support.</w:t>
      </w:r>
      <w:r>
        <w:t xml:space="preserve"> </w:t>
      </w:r>
      <w:r>
        <w:t xml:space="preserve">- Delivered the TechnologyOne migration cleanly and successfully, with stable post-cutover operations.</w:t>
      </w:r>
      <w:r>
        <w:t xml:space="preserve"> </w:t>
      </w:r>
      <w:r>
        <w:t xml:space="preserve">- Recognized with an Employee of the Year award for migration delivery outcomes and business impact.</w:t>
      </w:r>
    </w:p>
    <w:bookmarkEnd w:id="19"/>
    <w:bookmarkStart w:id="20"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Modernized legacy Microsoft Access systems to SQL Server and .NET-aligned platforms.</w:t>
      </w:r>
      <w:r>
        <w:t xml:space="preserve"> </w:t>
      </w:r>
      <w:r>
        <w:t xml:space="preserve">- Supported clinical data migration and go-live activities in regulated healthcare operations.</w:t>
      </w:r>
      <w:r>
        <w:t xml:space="preserve"> </w:t>
      </w:r>
      <w:r>
        <w:t xml:space="preserve">- Delivered application packaging for Citrix migration across Northland District Health Board-wide applications.</w:t>
      </w:r>
    </w:p>
    <w:bookmarkEnd w:id="20"/>
    <w:bookmarkStart w:id="21" w:name="nations-trust-bank-sri-lanka"/>
    <w:p>
      <w:pPr>
        <w:pStyle w:val="Heading3"/>
      </w:pPr>
      <w:r>
        <w:t xml:space="preserve">Nations Trust Bank, Sri Lanka</w:t>
      </w:r>
    </w:p>
    <w:p>
      <w:pPr>
        <w:pStyle w:val="FirstParagraph"/>
      </w:pPr>
      <w:r>
        <w:rPr>
          <w:b/>
          <w:bCs/>
        </w:rPr>
        <w:t xml:space="preserve">Senior Manager, Information Technology | Sep 1999 - Mar 2003</w:t>
      </w:r>
      <w:r>
        <w:t xml:space="preserve"> </w:t>
      </w:r>
      <w:r>
        <w:t xml:space="preserve">- Delivered a new banking software suite with modern delivery channels, completed on time and within budget.</w:t>
      </w:r>
      <w:r>
        <w:t xml:space="preserve"> </w:t>
      </w:r>
      <w:r>
        <w:t xml:space="preserve">- Led successful implementation of MasterCard gateways integrated with ATM and internet banking platforms.</w:t>
      </w:r>
      <w:r>
        <w:t xml:space="preserve"> </w:t>
      </w:r>
      <w:r>
        <w:t xml:space="preserve">- Reported to senior management and led IT infrastructure and enterprise system integration across business units.</w:t>
      </w:r>
      <w:r>
        <w:t xml:space="preserve"> </w:t>
      </w:r>
      <w:r>
        <w:t xml:space="preserve">- Managed external vendors, tender evaluations, software rollout coordination, and IT staff leadership.</w:t>
      </w:r>
      <w:r>
        <w:t xml:space="preserve"> </w:t>
      </w:r>
      <w:r>
        <w:t xml:space="preserve">- Led technical evaluations and testing for disaster recovery and business continuity planning.</w:t>
      </w:r>
    </w:p>
    <w:bookmarkEnd w:id="21"/>
    <w:bookmarkStart w:id="22" w:name="eutech-cybernetic"/>
    <w:p>
      <w:pPr>
        <w:pStyle w:val="Heading3"/>
      </w:pPr>
      <w:r>
        <w:t xml:space="preserve">Eutech Cybernetic</w:t>
      </w:r>
    </w:p>
    <w:p>
      <w:pPr>
        <w:pStyle w:val="FirstParagraph"/>
      </w:pPr>
      <w:r>
        <w:rPr>
          <w:b/>
          <w:bCs/>
        </w:rPr>
        <w:t xml:space="preserve">OEM Manager | Feb 1998 - Sep 1999</w:t>
      </w:r>
      <w:r>
        <w:t xml:space="preserve"> </w:t>
      </w:r>
      <w:r>
        <w:t xml:space="preserve">- Worked in the SCADA (Supervisory Control and Data Acquisition) division supporting intelligent building solutions.</w:t>
      </w:r>
      <w:r>
        <w:t xml:space="preserve"> </w:t>
      </w:r>
      <w:r>
        <w:t xml:space="preserve">- Managed software development delivery in Colombo, including SDLC and QA governance prior to Singapore release cycles.</w:t>
      </w:r>
      <w:r>
        <w:t xml:space="preserve"> </w:t>
      </w:r>
      <w:r>
        <w:t xml:space="preserve">- Provided technical leadership to the Colombo development team.</w:t>
      </w:r>
    </w:p>
    <w:bookmarkEnd w:id="22"/>
    <w:bookmarkEnd w:id="23"/>
    <w:bookmarkStart w:id="24" w:name="role-alignment"/>
    <w:p>
      <w:pPr>
        <w:pStyle w:val="Heading2"/>
      </w:pPr>
      <w:r>
        <w:t xml:space="preserve">Role Alignment</w:t>
      </w:r>
    </w:p>
    <w:p>
      <w:pPr>
        <w:pStyle w:val="Compact"/>
        <w:numPr>
          <w:ilvl w:val="0"/>
          <w:numId w:val="1004"/>
        </w:numPr>
      </w:pPr>
      <w:r>
        <w:t xml:space="preserve">Experienced in project-based environments requiring strong data governance, integration discipline, and measurable operational outcomes.</w:t>
      </w:r>
    </w:p>
    <w:p>
      <w:pPr>
        <w:pStyle w:val="Compact"/>
        <w:numPr>
          <w:ilvl w:val="0"/>
          <w:numId w:val="1004"/>
        </w:numPr>
      </w:pPr>
      <w:r>
        <w:t xml:space="preserve">Strong fit for senior individual contributor leadership roles reporting to executive stakeholders.</w:t>
      </w:r>
    </w:p>
    <w:p>
      <w:pPr>
        <w:pStyle w:val="Compact"/>
        <w:numPr>
          <w:ilvl w:val="0"/>
          <w:numId w:val="1004"/>
        </w:numPr>
      </w:pPr>
      <w:r>
        <w:t xml:space="preserve">Proven HRIS migration delivery in healthcare environments with disciplined data quality, error handling, and reconciliation controls.</w:t>
      </w:r>
    </w:p>
    <w:p>
      <w:pPr>
        <w:pStyle w:val="Compact"/>
        <w:numPr>
          <w:ilvl w:val="0"/>
          <w:numId w:val="1004"/>
        </w:numPr>
      </w:pPr>
      <w:r>
        <w:t xml:space="preserve">Ready to lead migration planning and execution for complex core business systems in HR/Payroll, Finance, CRM, and other enterprise applications.</w:t>
      </w:r>
    </w:p>
    <w:p>
      <w:pPr>
        <w:pStyle w:val="Compact"/>
        <w:numPr>
          <w:ilvl w:val="0"/>
          <w:numId w:val="1004"/>
        </w:numPr>
      </w:pPr>
      <w:r>
        <w:t xml:space="preserve">Early-career intelligent building technology delivery and long-term enterprise platform work provide transferable capability for construction and property-focused data environments.</w:t>
      </w:r>
    </w:p>
    <w:bookmarkEnd w:id="24"/>
    <w:bookmarkStart w:id="25" w:name="education"/>
    <w:p>
      <w:pPr>
        <w:pStyle w:val="Heading2"/>
      </w:pPr>
      <w:r>
        <w:t xml:space="preserve">Education</w:t>
      </w:r>
    </w:p>
    <w:p>
      <w:pPr>
        <w:pStyle w:val="Compact"/>
        <w:numPr>
          <w:ilvl w:val="0"/>
          <w:numId w:val="1005"/>
        </w:numPr>
      </w:pPr>
      <w:r>
        <w:t xml:space="preserve">MSc in Computer Science (First Class Honors)</w:t>
      </w:r>
    </w:p>
    <w:p>
      <w:pPr>
        <w:pStyle w:val="Compact"/>
        <w:numPr>
          <w:ilvl w:val="0"/>
          <w:numId w:val="1005"/>
        </w:numPr>
      </w:pPr>
      <w:r>
        <w:t xml:space="preserve">A/L (Double Maths, Physics, Chemistry) - Ananda College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2026-02-27T11:45:44Z</dcterms:created>
  <dcterms:modified xsi:type="dcterms:W3CDTF">2026-02-27T11:45:44Z</dcterms:modified>
</cp:coreProperties>
</file>

<file path=docProps/custom.xml><?xml version="1.0" encoding="utf-8"?>
<Properties xmlns="http://schemas.openxmlformats.org/officeDocument/2006/custom-properties" xmlns:vt="http://schemas.openxmlformats.org/officeDocument/2006/docPropsVTypes"/>
</file>