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27 February 2026</w:t>
      </w:r>
    </w:p>
    <w:p>
      <w:pPr>
        <w:pStyle w:val="BodyText"/>
      </w:pPr>
      <w:r>
        <w:t xml:space="preserve">Hiring Manager</w:t>
      </w:r>
      <w:r>
        <w:br/>
      </w:r>
      <w:r>
        <w:t xml:space="preserve">Alfred Health</w:t>
      </w:r>
      <w:r>
        <w:br/>
      </w:r>
      <w:r>
        <w:t xml:space="preserve">Melbourne, VIC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HRIS Data Migration Lead opportunity. I bring 15+ years of enterprise data delivery experience, including hands-on leadership of complex HRIS and payroll migrations across healthcare organisations in Australia and New Zealand.</w:t>
      </w:r>
    </w:p>
    <w:p>
      <w:pPr>
        <w:pStyle w:val="BodyText"/>
      </w:pPr>
      <w:r>
        <w:t xml:space="preserve">At Abano Healthcare Group, I led HRIS data migration workstreams across multiple entities, including migrations from Aurion, MYOB, Maven Dental (Aurion), PayGlobal, enableHR, and Deputy into Dayforce SaaS and D365 F&amp;O-aligned platforms where relevant. I led source-to-target data mapping, data cleansing, ETL execution, defect triage, and production cutover planning with business and vendor teams. I also implemented exception handling and error visibility practices that allowed rapid remediation and reliable reruns during mock and production loads.</w:t>
      </w:r>
    </w:p>
    <w:p>
      <w:pPr>
        <w:pStyle w:val="BodyText"/>
      </w:pPr>
      <w:r>
        <w:t xml:space="preserve">Earlier, at Whangarei District Council, I designed and delivered a bespoke SSIS migration framework to move Property, Rating, and Finance data from legacy systems into TechnologyOne. That delivery included mapping rules, data quality controls, post-migration reconciliation to source systems, UAT support, and live cutover execution. The program outcome was recognised with an Employee of the Year award.</w:t>
      </w:r>
    </w:p>
    <w:p>
      <w:pPr>
        <w:pStyle w:val="BodyText"/>
      </w:pPr>
      <w:r>
        <w:t xml:space="preserve">Both migration programs were delivered cleanly and successfully, with strong data quality, controlled cutover, and reliable reconciliation outcomes.</w:t>
      </w:r>
    </w:p>
    <w:p>
      <w:pPr>
        <w:pStyle w:val="BodyText"/>
      </w:pPr>
      <w:r>
        <w:t xml:space="preserve">In addition to migration delivery, I bring strong data platform capability in Microsoft Fabric, Delta Lake, and enterprise data warehousing. This helps me build migration solutions that are not only accurate at go-live, but also sustainable after cutover through monitorable pipelines, clear error observability, reconciliation controls, and operational runbooks. I focus on building systems that reduce failure points, provide early warning on data issues, and support efficient support and audit processes.</w:t>
      </w:r>
    </w:p>
    <w:p>
      <w:pPr>
        <w:pStyle w:val="BodyText"/>
      </w:pPr>
      <w:r>
        <w:t xml:space="preserve">I would welcome the opportunity to contribute this combination of HRIS migration leadership and data platform engineering discipline to Alfred Health.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  <w:r>
        <w:br/>
      </w:r>
      <w:r>
        <w:t xml:space="preserve">Melbourne, VIC</w:t>
      </w:r>
      <w:r>
        <w:br/>
      </w:r>
      <w:r>
        <w:t xml:space="preserve">0411040055</w:t>
      </w:r>
      <w:r>
        <w:br/>
      </w:r>
      <w:r>
        <w:t xml:space="preserve">sudatha@gmail.com</w:t>
      </w:r>
      <w:r>
        <w:br/>
      </w:r>
      <w:r>
        <w:t xml:space="preserve">linkedin.com/in/sudath-attanayake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2026-02-27T11:45:44Z</dcterms:created>
  <dcterms:modified xsi:type="dcterms:W3CDTF">2026-02-27T11:45:44Z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