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</w:t>
      </w:r>
      <w:r>
        <w:br/>
      </w:r>
      <w:r>
        <w:t xml:space="preserve">Email: sudatha@gmail.com | Phone: 0411040055 | LinkedIn: linkedin.com/in/sudath-attanayake</w:t>
      </w:r>
    </w:p>
    <w:p>
      <w:pPr>
        <w:pStyle w:val="BodyText"/>
      </w:pPr>
      <w:r>
        <w:t xml:space="preserve">27 February 2026</w:t>
      </w:r>
    </w:p>
    <w:p>
      <w:pPr>
        <w:pStyle w:val="BodyText"/>
      </w:pPr>
      <w:r>
        <w:t xml:space="preserve">Hiring Manager</w:t>
      </w:r>
      <w:r>
        <w:br/>
      </w:r>
      <w:r>
        <w:t xml:space="preserve">Bapcor Ltd</w:t>
      </w:r>
      <w:r>
        <w:br/>
      </w:r>
      <w:r>
        <w:t xml:space="preserve">Melbourne, VIC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Head of Business Intelligence role at Bapcor. I bring more than 20 years of IT leadership across Business Intelligence, Data Analytics, Data Science, and enterprise platform delivery in large, complex environments.</w:t>
      </w:r>
    </w:p>
    <w:p>
      <w:pPr>
        <w:pStyle w:val="BodyText"/>
      </w:pPr>
      <w:r>
        <w:t xml:space="preserve">I have led enterprise BI strategy and roadmap execution, modernised legacy data systems, and delivered scalable Azure data platforms that improve reliability, governance, and reporting performance. In recent roles, I partnered with executives and operational leaders to translate business priorities into actionable insights, strengthen data quality, and enable self-service analytics through governed Power BI delivery.</w:t>
      </w:r>
    </w:p>
    <w:p>
      <w:pPr>
        <w:pStyle w:val="BodyText"/>
      </w:pPr>
      <w:r>
        <w:t xml:space="preserve">My background includes leading high-performing technical teams, uplifting capability, and managing external vendors to deliver measurable business outcomes. I am commercially focused, with practical experience in budget management, prioritisation, and project delivery in fast-paced settings.</w:t>
      </w:r>
    </w:p>
    <w:p>
      <w:pPr>
        <w:pStyle w:val="BodyText"/>
      </w:pPr>
      <w:r>
        <w:t xml:space="preserve">Bapcor’s transformation agenda and emphasis on a customer-centred, insight-driven culture strongly align with how I lead. I am particularly motivated by the opportunity to contribute at Technology Leadership Team level, support enterprise investment decisions, and drive continuous improvement through modern BI practices and AI-enabled reporting.</w:t>
      </w:r>
    </w:p>
    <w:p>
      <w:pPr>
        <w:pStyle w:val="BodyText"/>
      </w:pPr>
      <w:r>
        <w:t xml:space="preserve">I welcome the opportunity to discuss how my experience can support Bapcor’s data and analytics priorities.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Sudath Attanayake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2026-02-27T12:55:49Z</dcterms:created>
  <dcterms:modified xsi:type="dcterms:W3CDTF">2026-02-27T12:55:49Z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