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</w:t>
      </w:r>
      <w:r>
        <w:br/>
      </w:r>
      <w:r>
        <w:t xml:space="preserve">Email: sudatha@gmail.com | Phone: 0411040055</w:t>
      </w:r>
      <w:r>
        <w:br/>
      </w:r>
      <w:r>
        <w:t xml:space="preserve">LinkedIn: linkedin.com/in/sudath-attanayake</w:t>
      </w:r>
    </w:p>
    <w:p>
      <w:pPr>
        <w:pStyle w:val="BodyText"/>
      </w:pPr>
      <w:r>
        <w:t xml:space="preserve">27 February 2026</w:t>
      </w:r>
    </w:p>
    <w:p>
      <w:pPr>
        <w:pStyle w:val="BodyText"/>
      </w:pPr>
      <w:r>
        <w:t xml:space="preserve">Hiring Manager</w:t>
      </w:r>
      <w:r>
        <w:br/>
      </w:r>
      <w:r>
        <w:t xml:space="preserve">Otic Group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Senior Data Engineer position at Otic Group. With 15+ years in data engineering, migration, and analytics delivery across Australia and New Zealand, I bring a combination of hands-on engineering depth and architecture leadership that aligns well with your requirements.</w:t>
      </w:r>
    </w:p>
    <w:p>
      <w:pPr>
        <w:pStyle w:val="BodyText"/>
      </w:pPr>
      <w:r>
        <w:t xml:space="preserve">In recent roles, I have led on-premises to cloud modernization initiatives, including reverse engineering of legacy SQL Server workloads, SSIS transformations, and stored procedure dependencies. I have designed and implemented ETL/ELT pipelines using Azure Data Factory, Synapse, SQL, and Python, and delivered lakehouse platforms using medallion architecture patterns for trusted analytics consumption.</w:t>
      </w:r>
    </w:p>
    <w:p>
      <w:pPr>
        <w:pStyle w:val="BodyText"/>
      </w:pPr>
      <w:r>
        <w:t xml:space="preserve">I also bring practical multi-cloud experience, with Azure as my strongest platform and working knowledge of AWS services including S3, Redshift, Glue, and Lambda. Across programs, I have focused on data governance, quality controls, lineage documentation, performance tuning, and CI/CD-aligned delivery practices to improve reliability and business confidence in data.</w:t>
      </w:r>
    </w:p>
    <w:p>
      <w:pPr>
        <w:pStyle w:val="BodyText"/>
      </w:pPr>
      <w:r>
        <w:t xml:space="preserve">Beyond technical delivery, I work closely with executive and cross-functional stakeholders, communicate architecture decisions clearly, and mentor engineers to strengthen team capability. I have delivered outcomes in healthcare and financial services environments where quality, risk control, and business alignment are critical.</w:t>
      </w:r>
    </w:p>
    <w:p>
      <w:pPr>
        <w:pStyle w:val="BodyText"/>
      </w:pPr>
      <w:r>
        <w:t xml:space="preserve">I would welcome the opportunity to contribute to Otic Group’s client engagements and help deliver scalable, high-quality data solutions across Azure and AWS.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Sudath Attanayake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2026-02-27T12:22:58Z</dcterms:created>
  <dcterms:modified xsi:type="dcterms:W3CDTF">2026-02-27T12:22:58Z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