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udath-attanayake"/>
    <w:p>
      <w:pPr>
        <w:pStyle w:val="Heading1"/>
      </w:pPr>
      <w:r>
        <w:t xml:space="preserve">Sudath Attanayake</w:t>
      </w:r>
    </w:p>
    <w:p>
      <w:pPr>
        <w:pStyle w:val="FirstParagraph"/>
      </w:pPr>
      <w:r>
        <w:t xml:space="preserve">Melbourne, VIC, Australia | Open to Melbourne/Sydney hybrid roles</w:t>
      </w:r>
      <w:r>
        <w:t xml:space="preserve"> </w:t>
      </w:r>
      <w:r>
        <w:t xml:space="preserve">LinkedIn: linkedin.com/in/sudath-attanayake | Email: sudatha@gmail.com | Phone: 0411040055</w:t>
      </w:r>
    </w:p>
    <w:bookmarkStart w:id="9" w:name="X19f946d96c9adee88d4fdf2dc3f48f97e1819eb"/>
    <w:p>
      <w:pPr>
        <w:pStyle w:val="Heading2"/>
      </w:pPr>
      <w:r>
        <w:t xml:space="preserve">Project Manager, Integration Strategy | EMR Programs | Health Data Integration</w:t>
      </w:r>
    </w:p>
    <w:bookmarkEnd w:id="9"/>
    <w:bookmarkStart w:id="10" w:name="professional-summary"/>
    <w:p>
      <w:pPr>
        <w:pStyle w:val="Heading2"/>
      </w:pPr>
      <w:r>
        <w:t xml:space="preserve">Professional Summary</w:t>
      </w:r>
    </w:p>
    <w:p>
      <w:pPr>
        <w:pStyle w:val="FirstParagraph"/>
      </w:pPr>
      <w:r>
        <w:t xml:space="preserve">Healthcare data and integration leader with 16+ years of Health IT experience delivering complex, mission-critical digital transformation initiatives across hospital and regulated environments. Strong background in integration architecture, third party system interoperability, legacy data migration, and cutover planning for electronic medical record (EMR) and connected clinical systems. Proven ability to translate business and clinical requirements into actionable roadmaps, lead cross-functional technical teams, and deliver robust, scalable, and governed data solutions. Experienced in stakeholder engagement across business, clinical, technology, and external vendor teams to drive successful program outcomes.</w:t>
      </w:r>
    </w:p>
    <w:bookmarkEnd w:id="10"/>
    <w:bookmarkStart w:id="11" w:name="core-skills"/>
    <w:p>
      <w:pPr>
        <w:pStyle w:val="Heading2"/>
      </w:pPr>
      <w:r>
        <w:t xml:space="preserve">Core Skills</w:t>
      </w:r>
    </w:p>
    <w:p>
      <w:pPr>
        <w:pStyle w:val="Compact"/>
        <w:numPr>
          <w:ilvl w:val="0"/>
          <w:numId w:val="1001"/>
        </w:numPr>
      </w:pPr>
      <w:r>
        <w:t xml:space="preserve">Project management for enterprise integration and digital health transformation programs</w:t>
      </w:r>
    </w:p>
    <w:p>
      <w:pPr>
        <w:pStyle w:val="Compact"/>
        <w:numPr>
          <w:ilvl w:val="0"/>
          <w:numId w:val="1001"/>
        </w:numPr>
      </w:pPr>
      <w:r>
        <w:t xml:space="preserve">EMR/EHR integration strategy and mission-critical data exchange planning</w:t>
      </w:r>
    </w:p>
    <w:p>
      <w:pPr>
        <w:pStyle w:val="Compact"/>
        <w:numPr>
          <w:ilvl w:val="0"/>
          <w:numId w:val="1001"/>
        </w:numPr>
      </w:pPr>
      <w:r>
        <w:t xml:space="preserve">Integration architecture across third party application systems and legacy platforms</w:t>
      </w:r>
    </w:p>
    <w:p>
      <w:pPr>
        <w:pStyle w:val="Compact"/>
        <w:numPr>
          <w:ilvl w:val="0"/>
          <w:numId w:val="1001"/>
        </w:numPr>
      </w:pPr>
      <w:r>
        <w:t xml:space="preserve">Data conversion planning, transition readiness, and cutover governance</w:t>
      </w:r>
    </w:p>
    <w:p>
      <w:pPr>
        <w:pStyle w:val="Compact"/>
        <w:numPr>
          <w:ilvl w:val="0"/>
          <w:numId w:val="1001"/>
        </w:numPr>
      </w:pPr>
      <w:r>
        <w:t xml:space="preserve">Program delivery governance: scope, schedule, risk management, issue management, and dependency management</w:t>
      </w:r>
    </w:p>
    <w:p>
      <w:pPr>
        <w:pStyle w:val="Compact"/>
        <w:numPr>
          <w:ilvl w:val="0"/>
          <w:numId w:val="1001"/>
        </w:numPr>
      </w:pPr>
      <w:r>
        <w:t xml:space="preserve">Stakeholder engagement across clinical, operational, vendor, and technical teams</w:t>
      </w:r>
    </w:p>
    <w:p>
      <w:pPr>
        <w:pStyle w:val="Compact"/>
        <w:numPr>
          <w:ilvl w:val="0"/>
          <w:numId w:val="1001"/>
        </w:numPr>
      </w:pPr>
      <w:r>
        <w:t xml:space="preserve">Infrastructure and environment planning to build and implement integration delivery and go live readiness</w:t>
      </w:r>
    </w:p>
    <w:p>
      <w:pPr>
        <w:pStyle w:val="Compact"/>
        <w:numPr>
          <w:ilvl w:val="0"/>
          <w:numId w:val="1001"/>
        </w:numPr>
      </w:pPr>
      <w:r>
        <w:t xml:space="preserve">Quality assurance, testing coordination, defect triage, and release management</w:t>
      </w:r>
    </w:p>
    <w:p>
      <w:pPr>
        <w:pStyle w:val="Compact"/>
        <w:numPr>
          <w:ilvl w:val="0"/>
          <w:numId w:val="1001"/>
        </w:numPr>
      </w:pPr>
      <w:r>
        <w:t xml:space="preserve">Interoperability and healthcare data integration (including HL7-based pipelines)</w:t>
      </w:r>
    </w:p>
    <w:p>
      <w:pPr>
        <w:pStyle w:val="Compact"/>
        <w:numPr>
          <w:ilvl w:val="0"/>
          <w:numId w:val="1001"/>
        </w:numPr>
      </w:pPr>
      <w:r>
        <w:t xml:space="preserve">Team leadership, mentoring, and continuous improvement of delivery practices</w:t>
      </w:r>
    </w:p>
    <w:bookmarkEnd w:id="11"/>
    <w:bookmarkStart w:id="12" w:name="technical-skills"/>
    <w:p>
      <w:pPr>
        <w:pStyle w:val="Heading2"/>
      </w:pPr>
      <w:r>
        <w:t xml:space="preserve">Technical Skills</w:t>
      </w:r>
    </w:p>
    <w:p>
      <w:pPr>
        <w:pStyle w:val="Compact"/>
        <w:numPr>
          <w:ilvl w:val="0"/>
          <w:numId w:val="1002"/>
        </w:numPr>
      </w:pPr>
      <w:r>
        <w:t xml:space="preserve">Program and Delivery: project planning, RAID management, change control, cutover planning, go-live readiness</w:t>
      </w:r>
    </w:p>
    <w:p>
      <w:pPr>
        <w:pStyle w:val="Compact"/>
        <w:numPr>
          <w:ilvl w:val="0"/>
          <w:numId w:val="1002"/>
        </w:numPr>
      </w:pPr>
      <w:r>
        <w:t xml:space="preserve">Integration and Data: ETL/ELT, APIs, HL7 integration, CDC patterns, data reconciliation, data migration</w:t>
      </w:r>
    </w:p>
    <w:p>
      <w:pPr>
        <w:pStyle w:val="Compact"/>
        <w:numPr>
          <w:ilvl w:val="0"/>
          <w:numId w:val="1002"/>
        </w:numPr>
      </w:pPr>
      <w:r>
        <w:t xml:space="preserve">Platforms: Microsoft SQL Server, Azure SQL, Azure Data Factory, Event Hub, Microsoft Fabric</w:t>
      </w:r>
    </w:p>
    <w:p>
      <w:pPr>
        <w:pStyle w:val="Compact"/>
        <w:numPr>
          <w:ilvl w:val="0"/>
          <w:numId w:val="1002"/>
        </w:numPr>
      </w:pPr>
      <w:r>
        <w:t xml:space="preserve">Data Management: data modelling, data quality controls, governance, metadata, lineage, validation processes</w:t>
      </w:r>
    </w:p>
    <w:p>
      <w:pPr>
        <w:pStyle w:val="Compact"/>
        <w:numPr>
          <w:ilvl w:val="0"/>
          <w:numId w:val="1002"/>
        </w:numPr>
      </w:pPr>
      <w:r>
        <w:t xml:space="preserve">Tools and Methods: Azure DevOps, GitHub, CI/CD, release coordination, documentation and operational runbooks</w:t>
      </w:r>
    </w:p>
    <w:p>
      <w:pPr>
        <w:pStyle w:val="Compact"/>
        <w:numPr>
          <w:ilvl w:val="0"/>
          <w:numId w:val="1002"/>
        </w:numPr>
      </w:pPr>
      <w:r>
        <w:t xml:space="preserve">Security and Compliance: access governance, privacy controls, masking, encryption, regulated healthcare operations</w:t>
      </w:r>
    </w:p>
    <w:bookmarkEnd w:id="12"/>
    <w:bookmarkStart w:id="20" w:name="professional-experience"/>
    <w:p>
      <w:pPr>
        <w:pStyle w:val="Heading2"/>
      </w:pPr>
      <w:r>
        <w:t xml:space="preserve">Professional Experience</w:t>
      </w:r>
    </w:p>
    <w:bookmarkStart w:id="13" w:name="attekus-melbourne-australia-hybrid"/>
    <w:p>
      <w:pPr>
        <w:pStyle w:val="Heading3"/>
      </w:pPr>
      <w:r>
        <w:t xml:space="preserve">Attekus, Melbourne, Australia (Hybrid)</w:t>
      </w:r>
    </w:p>
    <w:p>
      <w:pPr>
        <w:pStyle w:val="FirstParagraph"/>
      </w:pPr>
      <w:r>
        <w:rPr>
          <w:b/>
          <w:bCs/>
        </w:rPr>
        <w:t xml:space="preserve">Data Platform Lead | Apr 2025 - Feb 2026</w:t>
      </w:r>
    </w:p>
    <w:p>
      <w:pPr>
        <w:pStyle w:val="Compact"/>
        <w:numPr>
          <w:ilvl w:val="0"/>
          <w:numId w:val="1003"/>
        </w:numPr>
      </w:pPr>
      <w:r>
        <w:t xml:space="preserve">Led integration-focused delivery workstreams spanning architecture, engineering, testing, and release readiness.</w:t>
      </w:r>
    </w:p>
    <w:p>
      <w:pPr>
        <w:pStyle w:val="Compact"/>
        <w:numPr>
          <w:ilvl w:val="0"/>
          <w:numId w:val="1003"/>
        </w:numPr>
      </w:pPr>
      <w:r>
        <w:t xml:space="preserve">Translated business requirements into implementation plans for mission-critical data exchange and platform uplift.</w:t>
      </w:r>
    </w:p>
    <w:p>
      <w:pPr>
        <w:pStyle w:val="Compact"/>
        <w:numPr>
          <w:ilvl w:val="0"/>
          <w:numId w:val="1003"/>
        </w:numPr>
      </w:pPr>
      <w:r>
        <w:t xml:space="preserve">Coordinated cross-functional teams to deliver robust, scalable, and supportable integration outcomes.</w:t>
      </w:r>
    </w:p>
    <w:p>
      <w:pPr>
        <w:pStyle w:val="Compact"/>
        <w:numPr>
          <w:ilvl w:val="0"/>
          <w:numId w:val="1003"/>
        </w:numPr>
      </w:pPr>
      <w:r>
        <w:t xml:space="preserve">Improved delivery governance with stronger documentation, standards, issue management, and operational controls.</w:t>
      </w:r>
    </w:p>
    <w:bookmarkEnd w:id="13"/>
    <w:bookmarkStart w:id="14" w:name="Xa3e23a787797b26d408ded3d00c3d6bada92111"/>
    <w:p>
      <w:pPr>
        <w:pStyle w:val="Heading3"/>
      </w:pPr>
      <w:r>
        <w:t xml:space="preserve">Abano Healthcare Group, Melbourne, Australia (Hybrid)</w:t>
      </w:r>
    </w:p>
    <w:p>
      <w:pPr>
        <w:pStyle w:val="FirstParagraph"/>
      </w:pPr>
      <w:r>
        <w:rPr>
          <w:b/>
          <w:bCs/>
        </w:rPr>
        <w:t xml:space="preserve">Data and Analytics Architect | Nov 2022 - Apr 2025</w:t>
      </w:r>
    </w:p>
    <w:p>
      <w:pPr>
        <w:pStyle w:val="Compact"/>
        <w:numPr>
          <w:ilvl w:val="0"/>
          <w:numId w:val="1004"/>
        </w:numPr>
      </w:pPr>
      <w:r>
        <w:t xml:space="preserve">Architecture owner for enterprise analytics and integration capability supporting 250+ data endpoints.</w:t>
      </w:r>
    </w:p>
    <w:p>
      <w:pPr>
        <w:pStyle w:val="Compact"/>
        <w:numPr>
          <w:ilvl w:val="0"/>
          <w:numId w:val="1004"/>
        </w:numPr>
      </w:pPr>
      <w:r>
        <w:t xml:space="preserve">Defined and prioritized roadmap initiatives across data integration, migration, and reporting modernization.</w:t>
      </w:r>
    </w:p>
    <w:p>
      <w:pPr>
        <w:pStyle w:val="Compact"/>
        <w:numPr>
          <w:ilvl w:val="0"/>
          <w:numId w:val="1004"/>
        </w:numPr>
      </w:pPr>
      <w:r>
        <w:t xml:space="preserve">Oversaw integration design and delivery across multiple business-critical systems, including third party platforms and external vendor-managed applications.</w:t>
      </w:r>
    </w:p>
    <w:p>
      <w:pPr>
        <w:pStyle w:val="Compact"/>
        <w:numPr>
          <w:ilvl w:val="0"/>
          <w:numId w:val="1004"/>
        </w:numPr>
      </w:pPr>
      <w:r>
        <w:t xml:space="preserve">Partnered with operational and technical stakeholders to align dependencies, sequencing, and go-live planning.</w:t>
      </w:r>
    </w:p>
    <w:p>
      <w:pPr>
        <w:pStyle w:val="Compact"/>
        <w:numPr>
          <w:ilvl w:val="0"/>
          <w:numId w:val="1004"/>
        </w:numPr>
      </w:pPr>
      <w:r>
        <w:t xml:space="preserve">Improved governance and quality controls to support safe, reliable delivery in regulated healthcare settings.</w:t>
      </w:r>
    </w:p>
    <w:bookmarkEnd w:id="14"/>
    <w:bookmarkStart w:id="15" w:name="X59d58a29d8c82f18fa6f1135fe52029de99abec"/>
    <w:p>
      <w:pPr>
        <w:pStyle w:val="Heading3"/>
      </w:pPr>
      <w:r>
        <w:t xml:space="preserve">Abano Healthcare Group, Auckland, New Zealand</w:t>
      </w:r>
    </w:p>
    <w:p>
      <w:pPr>
        <w:pStyle w:val="FirstParagraph"/>
      </w:pPr>
      <w:r>
        <w:rPr>
          <w:b/>
          <w:bCs/>
        </w:rPr>
        <w:t xml:space="preserve">Senior DBA | Sep 2021 - Nov 2022</w:t>
      </w:r>
    </w:p>
    <w:p>
      <w:pPr>
        <w:pStyle w:val="Compact"/>
        <w:numPr>
          <w:ilvl w:val="0"/>
          <w:numId w:val="1005"/>
        </w:numPr>
      </w:pPr>
      <w:r>
        <w:t xml:space="preserve">Stabilised enterprise data warehouse operations across Australia and New Zealand, improving reliability and reducing cost.</w:t>
      </w:r>
    </w:p>
    <w:p>
      <w:pPr>
        <w:pStyle w:val="Compact"/>
        <w:numPr>
          <w:ilvl w:val="0"/>
          <w:numId w:val="1005"/>
        </w:numPr>
      </w:pPr>
      <w:r>
        <w:t xml:space="preserve">Acted as escalation lead for complex incidents and coordinated recovery actions across stakeholders.</w:t>
      </w:r>
    </w:p>
    <w:p>
      <w:pPr>
        <w:pStyle w:val="Compact"/>
        <w:numPr>
          <w:ilvl w:val="0"/>
          <w:numId w:val="1005"/>
        </w:numPr>
      </w:pPr>
      <w:r>
        <w:t xml:space="preserve">Performed root cause analysis and implemented sustainable fixes to improve service continuity and supportability.</w:t>
      </w:r>
    </w:p>
    <w:bookmarkEnd w:id="15"/>
    <w:bookmarkStart w:id="16"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p>
    <w:p>
      <w:pPr>
        <w:pStyle w:val="Compact"/>
        <w:numPr>
          <w:ilvl w:val="0"/>
          <w:numId w:val="1006"/>
        </w:numPr>
      </w:pPr>
      <w:r>
        <w:t xml:space="preserve">Primary DBA for New Zealand’s national e-Prescription platform in a mission-critical healthcare environment.</w:t>
      </w:r>
    </w:p>
    <w:p>
      <w:pPr>
        <w:pStyle w:val="Compact"/>
        <w:numPr>
          <w:ilvl w:val="0"/>
          <w:numId w:val="1006"/>
        </w:numPr>
      </w:pPr>
      <w:r>
        <w:t xml:space="preserve">Delivered HL7 data exchange of electronic patient data between GP systems and pharmacy systems to support national e-Prescription workflows.</w:t>
      </w:r>
    </w:p>
    <w:p>
      <w:pPr>
        <w:pStyle w:val="Compact"/>
        <w:numPr>
          <w:ilvl w:val="0"/>
          <w:numId w:val="1006"/>
        </w:numPr>
      </w:pPr>
      <w:r>
        <w:t xml:space="preserve">Led 8 TB SQL Server to Azure migration with minimal downtime and structured cutover governance.</w:t>
      </w:r>
    </w:p>
    <w:p>
      <w:pPr>
        <w:pStyle w:val="Compact"/>
        <w:numPr>
          <w:ilvl w:val="0"/>
          <w:numId w:val="1006"/>
        </w:numPr>
      </w:pPr>
      <w:r>
        <w:t xml:space="preserve">Planned migration waves, conversion validation, and post-cutover reconciliation for clinical data continuity.</w:t>
      </w:r>
    </w:p>
    <w:p>
      <w:pPr>
        <w:pStyle w:val="Compact"/>
        <w:numPr>
          <w:ilvl w:val="0"/>
          <w:numId w:val="1006"/>
        </w:numPr>
      </w:pPr>
      <w:r>
        <w:t xml:space="preserve">Supported major national-level go live cutovers and transition readiness activities for production clinical services.</w:t>
      </w:r>
    </w:p>
    <w:p>
      <w:pPr>
        <w:pStyle w:val="Compact"/>
        <w:numPr>
          <w:ilvl w:val="0"/>
          <w:numId w:val="1006"/>
        </w:numPr>
      </w:pPr>
      <w:r>
        <w:t xml:space="preserve">Coordinated implementation dependencies with third party vendors and external parties across healthcare integration streams.</w:t>
      </w:r>
    </w:p>
    <w:p>
      <w:pPr>
        <w:pStyle w:val="Compact"/>
        <w:numPr>
          <w:ilvl w:val="0"/>
          <w:numId w:val="1006"/>
        </w:numPr>
      </w:pPr>
      <w:r>
        <w:t xml:space="preserve">Improved scalability, security posture, and compliance through hardening, partitioning, and performance optimization.</w:t>
      </w:r>
    </w:p>
    <w:bookmarkEnd w:id="16"/>
    <w:bookmarkStart w:id="17" w:name="simplhealth-auckland-new-zealand"/>
    <w:p>
      <w:pPr>
        <w:pStyle w:val="Heading3"/>
      </w:pPr>
      <w:r>
        <w:t xml:space="preserve">SimplHealth, Auckland, New Zealand</w:t>
      </w:r>
    </w:p>
    <w:p>
      <w:pPr>
        <w:pStyle w:val="FirstParagraph"/>
      </w:pPr>
      <w:r>
        <w:rPr>
          <w:b/>
          <w:bCs/>
        </w:rPr>
        <w:t xml:space="preserve">Senior DBA | Mar 2013 - Nov 2016</w:t>
      </w:r>
    </w:p>
    <w:p>
      <w:pPr>
        <w:pStyle w:val="Compact"/>
        <w:numPr>
          <w:ilvl w:val="0"/>
          <w:numId w:val="1007"/>
        </w:numPr>
      </w:pPr>
      <w:r>
        <w:t xml:space="preserve">Delivered healthcare integration solutions, including HL7 real-time e-Prescription pipelines.</w:t>
      </w:r>
    </w:p>
    <w:p>
      <w:pPr>
        <w:pStyle w:val="Compact"/>
        <w:numPr>
          <w:ilvl w:val="0"/>
          <w:numId w:val="1007"/>
        </w:numPr>
      </w:pPr>
      <w:r>
        <w:t xml:space="preserve">Delivered HL7 data exchange of electronic patient data between GP systems and pharmacy systems.</w:t>
      </w:r>
    </w:p>
    <w:p>
      <w:pPr>
        <w:pStyle w:val="Compact"/>
        <w:numPr>
          <w:ilvl w:val="0"/>
          <w:numId w:val="1007"/>
        </w:numPr>
      </w:pPr>
      <w:r>
        <w:t xml:space="preserve">Managed transition of data feeds into reporting and operational platforms with validation controls.</w:t>
      </w:r>
    </w:p>
    <w:p>
      <w:pPr>
        <w:pStyle w:val="Compact"/>
        <w:numPr>
          <w:ilvl w:val="0"/>
          <w:numId w:val="1007"/>
        </w:numPr>
      </w:pPr>
      <w:r>
        <w:t xml:space="preserve">Participated in major national-level go live cutovers to support safe rollout of integrated healthcare services.</w:t>
      </w:r>
    </w:p>
    <w:p>
      <w:pPr>
        <w:pStyle w:val="Compact"/>
        <w:numPr>
          <w:ilvl w:val="0"/>
          <w:numId w:val="1007"/>
        </w:numPr>
      </w:pPr>
      <w:r>
        <w:t xml:space="preserve">Coordinated issue resolution across technical and business users to maintain continuity of critical data services.</w:t>
      </w:r>
    </w:p>
    <w:bookmarkEnd w:id="17"/>
    <w:bookmarkStart w:id="18" w:name="X597f119c46e6a7cdeaa090cbc6fb6ec6e943199"/>
    <w:p>
      <w:pPr>
        <w:pStyle w:val="Heading3"/>
      </w:pPr>
      <w:r>
        <w:t xml:space="preserve">Whangarei District Council, Whangarei, New Zealand</w:t>
      </w:r>
    </w:p>
    <w:p>
      <w:pPr>
        <w:pStyle w:val="FirstParagraph"/>
      </w:pPr>
      <w:r>
        <w:rPr>
          <w:b/>
          <w:bCs/>
        </w:rPr>
        <w:t xml:space="preserve">Senior DBA | Sep 2007 - Mar 2013</w:t>
      </w:r>
    </w:p>
    <w:p>
      <w:pPr>
        <w:pStyle w:val="Compact"/>
        <w:numPr>
          <w:ilvl w:val="0"/>
          <w:numId w:val="1008"/>
        </w:numPr>
      </w:pPr>
      <w:r>
        <w:t xml:space="preserve">Delivered migration pipelines from legacy systems to TechnologyOne with strong data quality assurance.</w:t>
      </w:r>
    </w:p>
    <w:p>
      <w:pPr>
        <w:pStyle w:val="Compact"/>
        <w:numPr>
          <w:ilvl w:val="0"/>
          <w:numId w:val="1008"/>
        </w:numPr>
      </w:pPr>
      <w:r>
        <w:t xml:space="preserve">Led UAT, production cutover planning, and risk-managed release activities including go live cutovers.</w:t>
      </w:r>
    </w:p>
    <w:bookmarkEnd w:id="18"/>
    <w:bookmarkStart w:id="19" w:name="X02905604a1057c4f073ab818bf9449804bf849e"/>
    <w:p>
      <w:pPr>
        <w:pStyle w:val="Heading3"/>
      </w:pPr>
      <w:r>
        <w:t xml:space="preserve">Northland District Health Board, New Zealand</w:t>
      </w:r>
    </w:p>
    <w:p>
      <w:pPr>
        <w:pStyle w:val="FirstParagraph"/>
      </w:pPr>
      <w:r>
        <w:rPr>
          <w:b/>
          <w:bCs/>
        </w:rPr>
        <w:t xml:space="preserve">DBA | 2003 - 2007</w:t>
      </w:r>
    </w:p>
    <w:p>
      <w:pPr>
        <w:pStyle w:val="Compact"/>
        <w:numPr>
          <w:ilvl w:val="0"/>
          <w:numId w:val="1009"/>
        </w:numPr>
      </w:pPr>
      <w:r>
        <w:t xml:space="preserve">Modernised legacy Microsoft Access systems to SQL Server and .NET platform solutions.</w:t>
      </w:r>
    </w:p>
    <w:p>
      <w:pPr>
        <w:pStyle w:val="Compact"/>
        <w:numPr>
          <w:ilvl w:val="0"/>
          <w:numId w:val="1009"/>
        </w:numPr>
      </w:pPr>
      <w:r>
        <w:t xml:space="preserve">Supported clinical data migration and go-live activities in regulated healthcare environments.</w:t>
      </w:r>
    </w:p>
    <w:bookmarkEnd w:id="19"/>
    <w:bookmarkEnd w:id="20"/>
    <w:bookmarkStart w:id="21" w:name="additional-information"/>
    <w:p>
      <w:pPr>
        <w:pStyle w:val="Heading2"/>
      </w:pPr>
      <w:r>
        <w:t xml:space="preserve">Additional Information</w:t>
      </w:r>
    </w:p>
    <w:p>
      <w:pPr>
        <w:pStyle w:val="Compact"/>
        <w:numPr>
          <w:ilvl w:val="0"/>
          <w:numId w:val="1010"/>
        </w:numPr>
      </w:pPr>
      <w:r>
        <w:t xml:space="preserve">Open to on-site work at metropolitan and regional health service locations</w:t>
      </w:r>
    </w:p>
    <w:p>
      <w:pPr>
        <w:pStyle w:val="Compact"/>
        <w:numPr>
          <w:ilvl w:val="0"/>
          <w:numId w:val="1010"/>
        </w:numPr>
      </w:pPr>
      <w:r>
        <w:t xml:space="preserve">Available for regular travel to support multi-site program delivery and stakeholder engagement</w:t>
      </w:r>
    </w:p>
    <w:p>
      <w:pPr>
        <w:pStyle w:val="Compact"/>
        <w:numPr>
          <w:ilvl w:val="0"/>
          <w:numId w:val="1010"/>
        </w:numPr>
      </w:pPr>
      <w:r>
        <w:t xml:space="preserve">16+ years working with patient and health data across New Zealand and Australian healthcare organisations</w:t>
      </w:r>
    </w:p>
    <w:bookmarkEnd w:id="21"/>
    <w:bookmarkStart w:id="22" w:name="education"/>
    <w:p>
      <w:pPr>
        <w:pStyle w:val="Heading2"/>
      </w:pPr>
      <w:r>
        <w:t xml:space="preserve">Education</w:t>
      </w:r>
    </w:p>
    <w:p>
      <w:pPr>
        <w:pStyle w:val="Compact"/>
        <w:numPr>
          <w:ilvl w:val="0"/>
          <w:numId w:val="1011"/>
        </w:numPr>
      </w:pPr>
      <w:r>
        <w:t xml:space="preserve">MSc in Computer Science (First Class Honors)</w:t>
      </w:r>
    </w:p>
    <w:p>
      <w:pPr>
        <w:pStyle w:val="Compact"/>
        <w:numPr>
          <w:ilvl w:val="0"/>
          <w:numId w:val="1011"/>
        </w:numPr>
      </w:pPr>
      <w:r>
        <w:t xml:space="preserve">A/L (Double Maths, Physics, Chemistry) - Ananda College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2026-02-23T22:10:49Z</dcterms:created>
  <dcterms:modified xsi:type="dcterms:W3CDTF">2026-02-23T22:10:49Z</dcterms:modified>
</cp:coreProperties>
</file>

<file path=docProps/custom.xml><?xml version="1.0" encoding="utf-8"?>
<Properties xmlns="http://schemas.openxmlformats.org/officeDocument/2006/custom-properties" xmlns:vt="http://schemas.openxmlformats.org/officeDocument/2006/docPropsVTypes"/>
</file>