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udath-attanayake"/>
    <w:p>
      <w:pPr>
        <w:pStyle w:val="Heading1"/>
      </w:pPr>
      <w:r>
        <w:t xml:space="preserve">Sudath Attanayake</w:t>
      </w:r>
    </w:p>
    <w:p>
      <w:pPr>
        <w:pStyle w:val="FirstParagraph"/>
      </w:pPr>
      <w:r>
        <w:t xml:space="preserve">Melbourne, VIC, Australia | Available for 5 days onsite roles</w:t>
      </w:r>
      <w:r>
        <w:t xml:space="preserve"> </w:t>
      </w:r>
      <w:r>
        <w:t xml:space="preserve">LinkedIn: linkedin.com/in/sudath-attanayake | Email: sudatha@gmail.com | Phone: 0411040055</w:t>
      </w:r>
    </w:p>
    <w:bookmarkStart w:id="9" w:name="X4178d461957cf13b013def95b196d2f82acfaf3"/>
    <w:p>
      <w:pPr>
        <w:pStyle w:val="Heading2"/>
      </w:pPr>
      <w:r>
        <w:t xml:space="preserve">Group Enterprise Architect | Enterprise Technology Strategy | Azure-Centric Architecture</w:t>
      </w:r>
    </w:p>
    <w:bookmarkEnd w:id="9"/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Enterprise architecture and data platform leader with 15+ years of experience shaping and delivering technology strategy across complex, fast-moving organisations in Australia and New Zealand. Strong background in target state architecture, architecture governance, integration strategy, and multi-year roadmap development aligned to business growth and operational outcomes. Proven ability to influence executives, senior leaders, delivery teams, and vendors without direct line authority, while remaining hands-on in complex solution design and critical technical decisions.</w:t>
      </w:r>
    </w:p>
    <w:bookmarkEnd w:id="10"/>
    <w:bookmarkStart w:id="11" w:name="core-capabilities"/>
    <w:p>
      <w:pPr>
        <w:pStyle w:val="Heading2"/>
      </w:pPr>
      <w:r>
        <w:t xml:space="preserve">Core Capabilities</w:t>
      </w:r>
    </w:p>
    <w:p>
      <w:pPr>
        <w:pStyle w:val="Compact"/>
        <w:numPr>
          <w:ilvl w:val="0"/>
          <w:numId w:val="1001"/>
        </w:numPr>
      </w:pPr>
      <w:r>
        <w:t xml:space="preserve">Establishing and maturing enterprise architecture functions in multi-entity environments</w:t>
      </w:r>
    </w:p>
    <w:p>
      <w:pPr>
        <w:pStyle w:val="Compact"/>
        <w:numPr>
          <w:ilvl w:val="0"/>
          <w:numId w:val="1001"/>
        </w:numPr>
      </w:pPr>
      <w:r>
        <w:t xml:space="preserve">Defining architecture principles, standards, reference patterns, and governance frameworks</w:t>
      </w:r>
    </w:p>
    <w:p>
      <w:pPr>
        <w:pStyle w:val="Compact"/>
        <w:numPr>
          <w:ilvl w:val="0"/>
          <w:numId w:val="1001"/>
        </w:numPr>
      </w:pPr>
      <w:r>
        <w:t xml:space="preserve">Developing and driving 3 to 5 year enterprise technology roadmaps aligned to business strategy</w:t>
      </w:r>
    </w:p>
    <w:p>
      <w:pPr>
        <w:pStyle w:val="Compact"/>
        <w:numPr>
          <w:ilvl w:val="0"/>
          <w:numId w:val="1001"/>
        </w:numPr>
      </w:pPr>
      <w:r>
        <w:t xml:space="preserve">Supporting technology due diligence and integration planning for acquisitions and platform consolidation</w:t>
      </w:r>
    </w:p>
    <w:p>
      <w:pPr>
        <w:pStyle w:val="Compact"/>
        <w:numPr>
          <w:ilvl w:val="0"/>
          <w:numId w:val="1001"/>
        </w:numPr>
      </w:pPr>
      <w:r>
        <w:t xml:space="preserve">Enterprise oversight across applications, integration, infrastructure, security, and data architecture</w:t>
      </w:r>
    </w:p>
    <w:p>
      <w:pPr>
        <w:pStyle w:val="Compact"/>
        <w:numPr>
          <w:ilvl w:val="0"/>
          <w:numId w:val="1001"/>
        </w:numPr>
      </w:pPr>
      <w:r>
        <w:t xml:space="preserve">Architectural guidance to delivery teams and vendors for scalable, fit-for-purpose solution outcomes</w:t>
      </w:r>
    </w:p>
    <w:p>
      <w:pPr>
        <w:pStyle w:val="Compact"/>
        <w:numPr>
          <w:ilvl w:val="0"/>
          <w:numId w:val="1001"/>
        </w:numPr>
      </w:pPr>
      <w:r>
        <w:t xml:space="preserve">Rationalisation and convergence to reduce duplication, technical debt, and platform complexity</w:t>
      </w:r>
    </w:p>
    <w:p>
      <w:pPr>
        <w:pStyle w:val="Compact"/>
        <w:numPr>
          <w:ilvl w:val="0"/>
          <w:numId w:val="1001"/>
        </w:numPr>
      </w:pPr>
      <w:r>
        <w:t xml:space="preserve">Executive stakeholder management and practical decision-making in high-accountability environments</w:t>
      </w:r>
    </w:p>
    <w:p>
      <w:pPr>
        <w:pStyle w:val="Compact"/>
        <w:numPr>
          <w:ilvl w:val="0"/>
          <w:numId w:val="1001"/>
        </w:numPr>
      </w:pPr>
      <w:r>
        <w:t xml:space="preserve">Balancing strategic direction with delivery-focused architectural leadership</w:t>
      </w:r>
    </w:p>
    <w:bookmarkEnd w:id="11"/>
    <w:bookmarkStart w:id="12" w:name="technology-landscape-experience"/>
    <w:p>
      <w:pPr>
        <w:pStyle w:val="Heading2"/>
      </w:pPr>
      <w:r>
        <w:t xml:space="preserve">Technology Landscape Experience</w:t>
      </w:r>
    </w:p>
    <w:p>
      <w:pPr>
        <w:pStyle w:val="Compact"/>
        <w:numPr>
          <w:ilvl w:val="0"/>
          <w:numId w:val="1002"/>
        </w:numPr>
      </w:pPr>
      <w:r>
        <w:t xml:space="preserve">Cloud and Data Platform: Microsoft Azure, Azure SQL, SQL Server, Azure Data Factory, Event Hub, Microsoft Fabric</w:t>
      </w:r>
    </w:p>
    <w:p>
      <w:pPr>
        <w:pStyle w:val="Compact"/>
        <w:numPr>
          <w:ilvl w:val="0"/>
          <w:numId w:val="1002"/>
        </w:numPr>
      </w:pPr>
      <w:r>
        <w:t xml:space="preserve">Enterprise Systems: ERP and Business Intelligence ecosystems, Dynamics 365 Finance and Operations, Power Platform-aligned integration contexts</w:t>
      </w:r>
    </w:p>
    <w:p>
      <w:pPr>
        <w:pStyle w:val="Compact"/>
        <w:numPr>
          <w:ilvl w:val="0"/>
          <w:numId w:val="1002"/>
        </w:numPr>
      </w:pPr>
      <w:r>
        <w:t xml:space="preserve">Integration and Data: APIs, ETL/ELT, CDC patterns, HL7 integration, data migration and cutover planning</w:t>
      </w:r>
    </w:p>
    <w:p>
      <w:pPr>
        <w:pStyle w:val="Compact"/>
        <w:numPr>
          <w:ilvl w:val="0"/>
          <w:numId w:val="1002"/>
        </w:numPr>
      </w:pPr>
      <w:r>
        <w:t xml:space="preserve">Governance and Security: Microsoft Purview, metadata and lineage controls, privacy and security-aligned platform design</w:t>
      </w:r>
    </w:p>
    <w:p>
      <w:pPr>
        <w:pStyle w:val="Compact"/>
        <w:numPr>
          <w:ilvl w:val="0"/>
          <w:numId w:val="1002"/>
        </w:numPr>
      </w:pPr>
      <w:r>
        <w:t xml:space="preserve">Delivery and Operations: Azure DevOps, CI/CD, release governance, operational readiness, resilience and performance tuning</w:t>
      </w:r>
    </w:p>
    <w:bookmarkEnd w:id="12"/>
    <w:bookmarkStart w:id="20" w:name="professional-experience"/>
    <w:p>
      <w:pPr>
        <w:pStyle w:val="Heading2"/>
      </w:pPr>
      <w:r>
        <w:t xml:space="preserve">Professional Experience</w:t>
      </w:r>
    </w:p>
    <w:bookmarkStart w:id="13" w:name="attekus-melbourne-australia-hybrid"/>
    <w:p>
      <w:pPr>
        <w:pStyle w:val="Heading3"/>
      </w:pPr>
      <w:r>
        <w:t xml:space="preserve">Attekus, Melbourne, Australia (Hybrid)</w:t>
      </w:r>
    </w:p>
    <w:p>
      <w:pPr>
        <w:pStyle w:val="FirstParagraph"/>
      </w:pPr>
      <w:r>
        <w:rPr>
          <w:b/>
          <w:bCs/>
        </w:rPr>
        <w:t xml:space="preserve">Data Platform Lead | Apr 2025 - Feb 2026</w:t>
      </w:r>
    </w:p>
    <w:p>
      <w:pPr>
        <w:pStyle w:val="Compact"/>
        <w:numPr>
          <w:ilvl w:val="0"/>
          <w:numId w:val="1003"/>
        </w:numPr>
      </w:pPr>
      <w:r>
        <w:t xml:space="preserve">Drove architecture direction across data platform, integration, and reporting initiatives in a delivery-focused environment.</w:t>
      </w:r>
    </w:p>
    <w:p>
      <w:pPr>
        <w:pStyle w:val="Compact"/>
        <w:numPr>
          <w:ilvl w:val="0"/>
          <w:numId w:val="1003"/>
        </w:numPr>
      </w:pPr>
      <w:r>
        <w:t xml:space="preserve">Defined platform standards and governance guardrails to improve consistency, quality, and long-term supportability.</w:t>
      </w:r>
    </w:p>
    <w:p>
      <w:pPr>
        <w:pStyle w:val="Compact"/>
        <w:numPr>
          <w:ilvl w:val="0"/>
          <w:numId w:val="1003"/>
        </w:numPr>
      </w:pPr>
      <w:r>
        <w:t xml:space="preserve">Guided solution teams through complex design decisions across application integration, data processing, and operational reliability.</w:t>
      </w:r>
    </w:p>
    <w:p>
      <w:pPr>
        <w:pStyle w:val="Compact"/>
        <w:numPr>
          <w:ilvl w:val="0"/>
          <w:numId w:val="1003"/>
        </w:numPr>
      </w:pPr>
      <w:r>
        <w:t xml:space="preserve">Partnered with stakeholders and vendors to evaluate technology options and align delivery to business priorities.</w:t>
      </w:r>
    </w:p>
    <w:p>
      <w:pPr>
        <w:pStyle w:val="Compact"/>
        <w:numPr>
          <w:ilvl w:val="0"/>
          <w:numId w:val="1003"/>
        </w:numPr>
      </w:pPr>
      <w:r>
        <w:t xml:space="preserve">Led architecture-driven simplification initiatives to reduce duplication and improve platform efficiency.</w:t>
      </w:r>
    </w:p>
    <w:bookmarkEnd w:id="13"/>
    <w:bookmarkStart w:id="14" w:name="Xa3e23a787797b26d408ded3d00c3d6bada92111"/>
    <w:p>
      <w:pPr>
        <w:pStyle w:val="Heading3"/>
      </w:pPr>
      <w:r>
        <w:t xml:space="preserve">Abano Healthcare Group, Melbourne, Australia (Hybrid)</w:t>
      </w:r>
    </w:p>
    <w:p>
      <w:pPr>
        <w:pStyle w:val="FirstParagraph"/>
      </w:pPr>
      <w:r>
        <w:rPr>
          <w:b/>
          <w:bCs/>
        </w:rPr>
        <w:t xml:space="preserve">Data and Analytics Architect | Nov 2022 - Apr 2025</w:t>
      </w:r>
    </w:p>
    <w:p>
      <w:pPr>
        <w:pStyle w:val="Compact"/>
        <w:numPr>
          <w:ilvl w:val="0"/>
          <w:numId w:val="1004"/>
        </w:numPr>
      </w:pPr>
      <w:r>
        <w:t xml:space="preserve">Architecture owner for enterprise analytics and integration capability spanning 250+ endpoints across multiple business domains.</w:t>
      </w:r>
    </w:p>
    <w:p>
      <w:pPr>
        <w:pStyle w:val="Compact"/>
        <w:numPr>
          <w:ilvl w:val="0"/>
          <w:numId w:val="1004"/>
        </w:numPr>
      </w:pPr>
      <w:r>
        <w:t xml:space="preserve">Defined target state architecture and roadmap direction for platform modernization, integration uplift, and reporting enablement.</w:t>
      </w:r>
    </w:p>
    <w:p>
      <w:pPr>
        <w:pStyle w:val="Compact"/>
        <w:numPr>
          <w:ilvl w:val="0"/>
          <w:numId w:val="1004"/>
        </w:numPr>
      </w:pPr>
      <w:r>
        <w:t xml:space="preserve">Worked across Australia and New Zealand operating contexts to align architecture decisions to enterprise needs.</w:t>
      </w:r>
    </w:p>
    <w:p>
      <w:pPr>
        <w:pStyle w:val="Compact"/>
        <w:numPr>
          <w:ilvl w:val="0"/>
          <w:numId w:val="1004"/>
        </w:numPr>
      </w:pPr>
      <w:r>
        <w:t xml:space="preserve">Led cross-functional design and implementation planning across finance, payroll, and clinical-adjacent system integrations.</w:t>
      </w:r>
    </w:p>
    <w:p>
      <w:pPr>
        <w:pStyle w:val="Compact"/>
        <w:numPr>
          <w:ilvl w:val="0"/>
          <w:numId w:val="1004"/>
        </w:numPr>
      </w:pPr>
      <w:r>
        <w:t xml:space="preserve">Drove governance and architecture review practices to improve solution quality, maintainability, and delivery confidence.</w:t>
      </w:r>
    </w:p>
    <w:bookmarkEnd w:id="14"/>
    <w:bookmarkStart w:id="15" w:name="X59d58a29d8c82f18fa6f1135fe52029de99abec"/>
    <w:p>
      <w:pPr>
        <w:pStyle w:val="Heading3"/>
      </w:pPr>
      <w:r>
        <w:t xml:space="preserve">Abano Healthcare Group, Auckland, New Zealand</w:t>
      </w:r>
    </w:p>
    <w:p>
      <w:pPr>
        <w:pStyle w:val="FirstParagraph"/>
      </w:pPr>
      <w:r>
        <w:rPr>
          <w:b/>
          <w:bCs/>
        </w:rPr>
        <w:t xml:space="preserve">Senior DBA | Sep 2021 - Nov 2022</w:t>
      </w:r>
    </w:p>
    <w:p>
      <w:pPr>
        <w:pStyle w:val="Compact"/>
        <w:numPr>
          <w:ilvl w:val="0"/>
          <w:numId w:val="1005"/>
        </w:numPr>
      </w:pPr>
      <w:r>
        <w:t xml:space="preserve">Supported enterprise platform consolidation priorities across ANZ operations through reliability and performance uplift.</w:t>
      </w:r>
    </w:p>
    <w:p>
      <w:pPr>
        <w:pStyle w:val="Compact"/>
        <w:numPr>
          <w:ilvl w:val="0"/>
          <w:numId w:val="1005"/>
        </w:numPr>
      </w:pPr>
      <w:r>
        <w:t xml:space="preserve">Improved SQL Server health, capacity planning, and service resilience for business-critical data services.</w:t>
      </w:r>
    </w:p>
    <w:p>
      <w:pPr>
        <w:pStyle w:val="Compact"/>
        <w:numPr>
          <w:ilvl w:val="0"/>
          <w:numId w:val="1005"/>
        </w:numPr>
      </w:pPr>
      <w:r>
        <w:t xml:space="preserve">Provided technical leadership on integration and modernization initiatives, including Dynamics 365 Finance and Operations contexts.</w:t>
      </w:r>
    </w:p>
    <w:bookmarkEnd w:id="15"/>
    <w:bookmarkStart w:id="16" w:name="whanau-tahi-limited-auckland-new-zealand"/>
    <w:p>
      <w:pPr>
        <w:pStyle w:val="Heading3"/>
      </w:pPr>
      <w:r>
        <w:t xml:space="preserve">Whanau Tahi Limited, Auckland, New Zealand</w:t>
      </w:r>
    </w:p>
    <w:p>
      <w:pPr>
        <w:pStyle w:val="FirstParagraph"/>
      </w:pPr>
      <w:r>
        <w:rPr>
          <w:b/>
          <w:bCs/>
        </w:rPr>
        <w:t xml:space="preserve">Senior Database Administrator | Oct 2016 - Sep 2021</w:t>
      </w:r>
    </w:p>
    <w:p>
      <w:pPr>
        <w:pStyle w:val="Compact"/>
        <w:numPr>
          <w:ilvl w:val="0"/>
          <w:numId w:val="1006"/>
        </w:numPr>
      </w:pPr>
      <w:r>
        <w:t xml:space="preserve">Primary DBA for New Zealand’s national e-Prescription platform in a mission-critical healthcare setting.</w:t>
      </w:r>
    </w:p>
    <w:p>
      <w:pPr>
        <w:pStyle w:val="Compact"/>
        <w:numPr>
          <w:ilvl w:val="0"/>
          <w:numId w:val="1006"/>
        </w:numPr>
      </w:pPr>
      <w:r>
        <w:t xml:space="preserve">Led 8 TB SQL Server to Azure migration with staged governance, controlled cutover, and minimal downtime.</w:t>
      </w:r>
    </w:p>
    <w:p>
      <w:pPr>
        <w:pStyle w:val="Compact"/>
        <w:numPr>
          <w:ilvl w:val="0"/>
          <w:numId w:val="1006"/>
        </w:numPr>
      </w:pPr>
      <w:r>
        <w:t xml:space="preserve">Planned for growth, performance, and resilience requirements while supporting continuous service delivery.</w:t>
      </w:r>
    </w:p>
    <w:p>
      <w:pPr>
        <w:pStyle w:val="Compact"/>
        <w:numPr>
          <w:ilvl w:val="0"/>
          <w:numId w:val="1006"/>
        </w:numPr>
      </w:pPr>
      <w:r>
        <w:t xml:space="preserve">Improved platform security, compliance posture, and operational supportability through hardening and tuning practices.</w:t>
      </w:r>
    </w:p>
    <w:bookmarkEnd w:id="16"/>
    <w:bookmarkStart w:id="17" w:name="simplhealth-auckland-new-zealand"/>
    <w:p>
      <w:pPr>
        <w:pStyle w:val="Heading3"/>
      </w:pPr>
      <w:r>
        <w:t xml:space="preserve">SimplHealth, Auckland, New Zealand</w:t>
      </w:r>
    </w:p>
    <w:p>
      <w:pPr>
        <w:pStyle w:val="FirstParagraph"/>
      </w:pPr>
      <w:r>
        <w:rPr>
          <w:b/>
          <w:bCs/>
        </w:rPr>
        <w:t xml:space="preserve">Senior DBA | Mar 2013 - Nov 2016</w:t>
      </w:r>
    </w:p>
    <w:p>
      <w:pPr>
        <w:pStyle w:val="Compact"/>
        <w:numPr>
          <w:ilvl w:val="0"/>
          <w:numId w:val="1007"/>
        </w:numPr>
      </w:pPr>
      <w:r>
        <w:t xml:space="preserve">Delivered integration and reporting data services supporting healthcare operations and Ministry requirements.</w:t>
      </w:r>
    </w:p>
    <w:p>
      <w:pPr>
        <w:pStyle w:val="Compact"/>
        <w:numPr>
          <w:ilvl w:val="0"/>
          <w:numId w:val="1007"/>
        </w:numPr>
      </w:pPr>
      <w:r>
        <w:t xml:space="preserve">Implemented business logic and reporting pipelines to improve operational decision support.</w:t>
      </w:r>
    </w:p>
    <w:p>
      <w:pPr>
        <w:pStyle w:val="Compact"/>
        <w:numPr>
          <w:ilvl w:val="0"/>
          <w:numId w:val="1007"/>
        </w:numPr>
      </w:pPr>
      <w:r>
        <w:t xml:space="preserve">Supported production troubleshooting and service stabilization in high-availability environments.</w:t>
      </w:r>
    </w:p>
    <w:bookmarkEnd w:id="17"/>
    <w:bookmarkStart w:id="18" w:name="X597f119c46e6a7cdeaa090cbc6fb6ec6e943199"/>
    <w:p>
      <w:pPr>
        <w:pStyle w:val="Heading3"/>
      </w:pPr>
      <w:r>
        <w:t xml:space="preserve">Whangarei District Council, Whangarei, New Zealand</w:t>
      </w:r>
    </w:p>
    <w:p>
      <w:pPr>
        <w:pStyle w:val="FirstParagraph"/>
      </w:pPr>
      <w:r>
        <w:rPr>
          <w:b/>
          <w:bCs/>
        </w:rPr>
        <w:t xml:space="preserve">Senior DBA | Sep 2007 - Mar 2013</w:t>
      </w:r>
    </w:p>
    <w:p>
      <w:pPr>
        <w:pStyle w:val="Compact"/>
        <w:numPr>
          <w:ilvl w:val="0"/>
          <w:numId w:val="1008"/>
        </w:numPr>
      </w:pPr>
      <w:r>
        <w:t xml:space="preserve">Delivered data migration and system integration activities for TechnologyOne transformation programs.</w:t>
      </w:r>
    </w:p>
    <w:p>
      <w:pPr>
        <w:pStyle w:val="Compact"/>
        <w:numPr>
          <w:ilvl w:val="0"/>
          <w:numId w:val="1008"/>
        </w:numPr>
      </w:pPr>
      <w:r>
        <w:t xml:space="preserve">Supported release governance, UAT, and cutover planning across multiple business systems.</w:t>
      </w:r>
    </w:p>
    <w:bookmarkEnd w:id="18"/>
    <w:bookmarkStart w:id="19" w:name="X02905604a1057c4f073ab818bf9449804bf849e"/>
    <w:p>
      <w:pPr>
        <w:pStyle w:val="Heading3"/>
      </w:pPr>
      <w:r>
        <w:t xml:space="preserve">Northland District Health Board, New Zealand</w:t>
      </w:r>
    </w:p>
    <w:p>
      <w:pPr>
        <w:pStyle w:val="FirstParagraph"/>
      </w:pPr>
      <w:r>
        <w:rPr>
          <w:b/>
          <w:bCs/>
        </w:rPr>
        <w:t xml:space="preserve">DBA | 2003 - 2007</w:t>
      </w:r>
    </w:p>
    <w:p>
      <w:pPr>
        <w:pStyle w:val="Compact"/>
        <w:numPr>
          <w:ilvl w:val="0"/>
          <w:numId w:val="1009"/>
        </w:numPr>
      </w:pPr>
      <w:r>
        <w:t xml:space="preserve">Modernized legacy Microsoft Access data systems to SQL Server and .NET-aligned platforms.</w:t>
      </w:r>
    </w:p>
    <w:p>
      <w:pPr>
        <w:pStyle w:val="Compact"/>
        <w:numPr>
          <w:ilvl w:val="0"/>
          <w:numId w:val="1009"/>
        </w:numPr>
      </w:pPr>
      <w:r>
        <w:t xml:space="preserve">Supported clinical data migration and go-live activities in regulated healthcare operations.</w:t>
      </w:r>
    </w:p>
    <w:bookmarkEnd w:id="19"/>
    <w:bookmarkEnd w:id="20"/>
    <w:bookmarkStart w:id="21" w:name="enterprise-architecture-highlights"/>
    <w:p>
      <w:pPr>
        <w:pStyle w:val="Heading2"/>
      </w:pPr>
      <w:r>
        <w:t xml:space="preserve">Enterprise Architecture Highlights</w:t>
      </w:r>
    </w:p>
    <w:p>
      <w:pPr>
        <w:pStyle w:val="Compact"/>
        <w:numPr>
          <w:ilvl w:val="0"/>
          <w:numId w:val="1010"/>
        </w:numPr>
      </w:pPr>
      <w:r>
        <w:t xml:space="preserve">Built and applied architecture governance practices to support consistent, scalable, and secure solution delivery.</w:t>
      </w:r>
    </w:p>
    <w:p>
      <w:pPr>
        <w:pStyle w:val="Compact"/>
        <w:numPr>
          <w:ilvl w:val="0"/>
          <w:numId w:val="1010"/>
        </w:numPr>
      </w:pPr>
      <w:r>
        <w:t xml:space="preserve">Guided architecture decisions across applications, integrations, infrastructure, security, and data domains.</w:t>
      </w:r>
    </w:p>
    <w:p>
      <w:pPr>
        <w:pStyle w:val="Compact"/>
        <w:numPr>
          <w:ilvl w:val="0"/>
          <w:numId w:val="1010"/>
        </w:numPr>
      </w:pPr>
      <w:r>
        <w:t xml:space="preserve">Supported business growth and transformation through platform convergence and technical debt reduction.</w:t>
      </w:r>
    </w:p>
    <w:p>
      <w:pPr>
        <w:pStyle w:val="Compact"/>
        <w:numPr>
          <w:ilvl w:val="0"/>
          <w:numId w:val="1010"/>
        </w:numPr>
      </w:pPr>
      <w:r>
        <w:t xml:space="preserve">Balanced long-term roadmap outcomes with practical delivery guidance in high-change operational environments.</w:t>
      </w:r>
    </w:p>
    <w:p>
      <w:pPr>
        <w:pStyle w:val="Compact"/>
        <w:numPr>
          <w:ilvl w:val="0"/>
          <w:numId w:val="1010"/>
        </w:numPr>
      </w:pPr>
      <w:r>
        <w:t xml:space="preserve">Influenced senior stakeholders and technical teams through clear architecture principles and pragmatic trade-off decisions.</w:t>
      </w:r>
    </w:p>
    <w:bookmarkEnd w:id="21"/>
    <w:bookmarkStart w:id="22" w:name="education"/>
    <w:p>
      <w:pPr>
        <w:pStyle w:val="Heading2"/>
      </w:pPr>
      <w:r>
        <w:t xml:space="preserve">Education</w:t>
      </w:r>
    </w:p>
    <w:p>
      <w:pPr>
        <w:pStyle w:val="Compact"/>
        <w:numPr>
          <w:ilvl w:val="0"/>
          <w:numId w:val="1011"/>
        </w:numPr>
      </w:pPr>
      <w:r>
        <w:t xml:space="preserve">MSc in Computer Science (First Class Honors)</w:t>
      </w:r>
    </w:p>
    <w:p>
      <w:pPr>
        <w:pStyle w:val="Compact"/>
        <w:numPr>
          <w:ilvl w:val="0"/>
          <w:numId w:val="1011"/>
        </w:numPr>
      </w:pPr>
      <w:r>
        <w:t xml:space="preserve">A/L (Double Maths, Physics, Chemistry) - Ananda College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2026-02-24T06:18:03Z</dcterms:created>
  <dcterms:modified xsi:type="dcterms:W3CDTF">2026-02-24T06:18:03Z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