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Open to Melbourne/Sydney hybrid roles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Xa2743d4c7cc115b9ca26e65fa0baf3e55cd27df"/>
    <w:p>
      <w:pPr>
        <w:pStyle w:val="Heading2"/>
      </w:pPr>
      <w:r>
        <w:t xml:space="preserve">Technical Lead - Data Engineering | Azure Data Platform | SQL Server | Data Integration</w: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Hands-on data engineering leader with 15+ years of experience designing, building, operating, and continuously improving enterprise data platforms in complex, regulated environments. Strong background in Microsoft SQL Server, Azure data platforms, Python, SQL, Spark/Delta engineering, and scalable batch/streaming data pipeline delivery. Proven ability to lead engineers day-to-day, translate business requirements and architecture into robust technical solutions, and own non-functional outcomes across performance, reliability, security, and supportability. Brings a coaching mindset, strong DevOps discipline, and practical focus on delivery quality, cost efficiency, and operational excellence.</w:t>
      </w:r>
    </w:p>
    <w:bookmarkEnd w:id="10"/>
    <w:bookmarkStart w:id="11" w:name="core-skills"/>
    <w:p>
      <w:pPr>
        <w:pStyle w:val="Heading2"/>
      </w:pPr>
      <w:r>
        <w:t xml:space="preserve">Core Skills</w:t>
      </w:r>
    </w:p>
    <w:p>
      <w:pPr>
        <w:pStyle w:val="Compact"/>
        <w:numPr>
          <w:ilvl w:val="0"/>
          <w:numId w:val="1001"/>
        </w:numPr>
      </w:pPr>
      <w:r>
        <w:t xml:space="preserve">Hands-on technical leadership and day-to-day guidance for data engineering teams</w:t>
      </w:r>
    </w:p>
    <w:p>
      <w:pPr>
        <w:pStyle w:val="Compact"/>
        <w:numPr>
          <w:ilvl w:val="0"/>
          <w:numId w:val="1001"/>
        </w:numPr>
      </w:pPr>
      <w:r>
        <w:t xml:space="preserve">Translation of business requirements and solution architecture into high-quality technical designs</w:t>
      </w:r>
    </w:p>
    <w:p>
      <w:pPr>
        <w:pStyle w:val="Compact"/>
        <w:numPr>
          <w:ilvl w:val="0"/>
          <w:numId w:val="1001"/>
        </w:numPr>
      </w:pPr>
      <w:r>
        <w:t xml:space="preserve">End-to-end solution lifecycle ownership: design, development, testing, deployment, and production support</w:t>
      </w:r>
    </w:p>
    <w:p>
      <w:pPr>
        <w:pStyle w:val="Compact"/>
        <w:numPr>
          <w:ilvl w:val="0"/>
          <w:numId w:val="1001"/>
        </w:numPr>
      </w:pPr>
      <w:r>
        <w:t xml:space="preserve">NFR ownership: performance, availability, security, reliability, and supportability</w:t>
      </w:r>
    </w:p>
    <w:p>
      <w:pPr>
        <w:pStyle w:val="Compact"/>
        <w:numPr>
          <w:ilvl w:val="0"/>
          <w:numId w:val="1001"/>
        </w:numPr>
      </w:pPr>
      <w:r>
        <w:t xml:space="preserve">Engineering standards, code quality, design reviews, and maintainability</w:t>
      </w:r>
    </w:p>
    <w:p>
      <w:pPr>
        <w:pStyle w:val="Compact"/>
        <w:numPr>
          <w:ilvl w:val="0"/>
          <w:numId w:val="1001"/>
        </w:numPr>
      </w:pPr>
      <w:r>
        <w:t xml:space="preserve">CI/CD, DevOps, infrastructure as code, and automated testing adoption</w:t>
      </w:r>
    </w:p>
    <w:p>
      <w:pPr>
        <w:pStyle w:val="Compact"/>
        <w:numPr>
          <w:ilvl w:val="0"/>
          <w:numId w:val="1001"/>
        </w:numPr>
      </w:pPr>
      <w:r>
        <w:t xml:space="preserve">Root cause analysis, incident management, and sustainable remediation of production data issues</w:t>
      </w:r>
    </w:p>
    <w:p>
      <w:pPr>
        <w:pStyle w:val="Compact"/>
        <w:numPr>
          <w:ilvl w:val="0"/>
          <w:numId w:val="1001"/>
        </w:numPr>
      </w:pPr>
      <w:r>
        <w:t xml:space="preserve">Cost-aware engineering, cloud resource optimization, and financial efficiency</w:t>
      </w:r>
    </w:p>
    <w:p>
      <w:pPr>
        <w:pStyle w:val="Compact"/>
        <w:numPr>
          <w:ilvl w:val="0"/>
          <w:numId w:val="1001"/>
        </w:numPr>
      </w:pPr>
      <w:r>
        <w:t xml:space="preserve">Pragmatic data modelling aligned to reporting and analytics outcomes</w:t>
      </w:r>
    </w:p>
    <w:p>
      <w:pPr>
        <w:pStyle w:val="Compact"/>
        <w:numPr>
          <w:ilvl w:val="0"/>
          <w:numId w:val="1001"/>
        </w:numPr>
      </w:pPr>
      <w:r>
        <w:t xml:space="preserve">Non-production environment strategy: automated refresh, validation, and data quality checks</w:t>
      </w:r>
    </w:p>
    <w:p>
      <w:pPr>
        <w:pStyle w:val="Compact"/>
        <w:numPr>
          <w:ilvl w:val="0"/>
          <w:numId w:val="1001"/>
        </w:numPr>
      </w:pPr>
      <w:r>
        <w:t xml:space="preserve">Cross-team collaboration across application, platform, integration, and business stakeholders</w:t>
      </w:r>
    </w:p>
    <w:p>
      <w:pPr>
        <w:pStyle w:val="Compact"/>
        <w:numPr>
          <w:ilvl w:val="0"/>
          <w:numId w:val="1001"/>
        </w:numPr>
      </w:pPr>
      <w:r>
        <w:t xml:space="preserve">Coaching and mentoring across varying engineer experience levels</w:t>
      </w:r>
    </w:p>
    <w:bookmarkEnd w:id="11"/>
    <w:bookmarkStart w:id="12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2"/>
        </w:numPr>
      </w:pPr>
      <w:r>
        <w:t xml:space="preserve">Languages: Python, SQL, T-SQL, PySpark</w:t>
      </w:r>
    </w:p>
    <w:p>
      <w:pPr>
        <w:pStyle w:val="Compact"/>
        <w:numPr>
          <w:ilvl w:val="0"/>
          <w:numId w:val="1002"/>
        </w:numPr>
      </w:pPr>
      <w:r>
        <w:t xml:space="preserve">Data Engineering: ETL/ELT, batch and streaming pipelines, event-based ingestion, CDC patterns, Spark engineering</w:t>
      </w:r>
    </w:p>
    <w:p>
      <w:pPr>
        <w:pStyle w:val="Compact"/>
        <w:numPr>
          <w:ilvl w:val="0"/>
          <w:numId w:val="1002"/>
        </w:numPr>
      </w:pPr>
      <w:r>
        <w:t xml:space="preserve">Platform and Tooling: Azure Data Factory (ADF), Microsoft Fabric, Azure SQL, SQL Server, Event Hub</w:t>
      </w:r>
    </w:p>
    <w:p>
      <w:pPr>
        <w:pStyle w:val="Compact"/>
        <w:numPr>
          <w:ilvl w:val="0"/>
          <w:numId w:val="1002"/>
        </w:numPr>
      </w:pPr>
      <w:r>
        <w:t xml:space="preserve">Lakehouse and Storage: Delta Lake, ADLS Gen2 patterns, medallion architecture, data modelling, data warehousing</w:t>
      </w:r>
    </w:p>
    <w:p>
      <w:pPr>
        <w:pStyle w:val="Compact"/>
        <w:numPr>
          <w:ilvl w:val="0"/>
          <w:numId w:val="1002"/>
        </w:numPr>
      </w:pPr>
      <w:r>
        <w:t xml:space="preserve">Databricks and Spark: Spark transformations, notebook-based development patterns, performance tuning, production support</w:t>
      </w:r>
    </w:p>
    <w:p>
      <w:pPr>
        <w:pStyle w:val="Compact"/>
        <w:numPr>
          <w:ilvl w:val="0"/>
          <w:numId w:val="1002"/>
        </w:numPr>
      </w:pPr>
      <w:r>
        <w:t xml:space="preserve">Azure Fundamentals: identity and access management, security controls, networking awareness, resource management, cost optimisation</w:t>
      </w:r>
    </w:p>
    <w:p>
      <w:pPr>
        <w:pStyle w:val="Compact"/>
        <w:numPr>
          <w:ilvl w:val="0"/>
          <w:numId w:val="1002"/>
        </w:numPr>
      </w:pPr>
      <w:r>
        <w:t xml:space="preserve">Governance and Security: Microsoft Purview, metadata, lineage, data quality controls, RBAC, masking, encryption</w:t>
      </w:r>
    </w:p>
    <w:p>
      <w:pPr>
        <w:pStyle w:val="Compact"/>
        <w:numPr>
          <w:ilvl w:val="0"/>
          <w:numId w:val="1002"/>
        </w:numPr>
      </w:pPr>
      <w:r>
        <w:t xml:space="preserve">DevOps and Delivery: Azure DevOps, GitHub, CI/CD pipelines, Terraform (IaC), automated testing</w:t>
      </w:r>
    </w:p>
    <w:p>
      <w:pPr>
        <w:pStyle w:val="Compact"/>
        <w:numPr>
          <w:ilvl w:val="0"/>
          <w:numId w:val="1002"/>
        </w:numPr>
      </w:pPr>
      <w:r>
        <w:t xml:space="preserve">ML and Advanced Analytics: exposure to MLOps and ML engineering enablement on Azure data platforms</w:t>
      </w:r>
    </w:p>
    <w:bookmarkEnd w:id="12"/>
    <w:bookmarkStart w:id="20" w:name="professional-experience"/>
    <w:p>
      <w:pPr>
        <w:pStyle w:val="Heading2"/>
      </w:pPr>
      <w:r>
        <w:t xml:space="preserve">Professional Experience</w:t>
      </w:r>
    </w:p>
    <w:bookmarkStart w:id="13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</w:p>
    <w:p>
      <w:pPr>
        <w:pStyle w:val="Compact"/>
        <w:numPr>
          <w:ilvl w:val="0"/>
          <w:numId w:val="1003"/>
        </w:numPr>
      </w:pPr>
      <w:r>
        <w:t xml:space="preserve">Provided hands-on technical leadership and day-to-day guidance to engineers across platform and integration delivery.</w:t>
      </w:r>
    </w:p>
    <w:p>
      <w:pPr>
        <w:pStyle w:val="Compact"/>
        <w:numPr>
          <w:ilvl w:val="0"/>
          <w:numId w:val="1003"/>
        </w:numPr>
      </w:pPr>
      <w:r>
        <w:t xml:space="preserve">Led design, development, testing, and deployment of Azure-based data solutions and SQL Server-integrated workloads.</w:t>
      </w:r>
    </w:p>
    <w:p>
      <w:pPr>
        <w:pStyle w:val="Compact"/>
        <w:numPr>
          <w:ilvl w:val="0"/>
          <w:numId w:val="1003"/>
        </w:numPr>
      </w:pPr>
      <w:r>
        <w:t xml:space="preserve">Owned solution integrity across performance, reliability, supportability, and operational readiness.</w:t>
      </w:r>
    </w:p>
    <w:p>
      <w:pPr>
        <w:pStyle w:val="Compact"/>
        <w:numPr>
          <w:ilvl w:val="0"/>
          <w:numId w:val="1003"/>
        </w:numPr>
      </w:pPr>
      <w:r>
        <w:t xml:space="preserve">Improved engineering discipline through standards, code/design reviews, documentation, and change control practices.</w:t>
      </w:r>
    </w:p>
    <w:p>
      <w:pPr>
        <w:pStyle w:val="Compact"/>
        <w:numPr>
          <w:ilvl w:val="0"/>
          <w:numId w:val="1003"/>
        </w:numPr>
      </w:pPr>
      <w:r>
        <w:t xml:space="preserve">Drove CI/CD and automation improvements to increase delivery consistency, quality, and release confidence.</w:t>
      </w:r>
    </w:p>
    <w:bookmarkEnd w:id="13"/>
    <w:bookmarkStart w:id="14" w:name="Xa3e23a787797b26d408ded3d00c3d6bada92111"/>
    <w:p>
      <w:pPr>
        <w:pStyle w:val="Heading3"/>
      </w:pPr>
      <w:r>
        <w:t xml:space="preserve">Abano Healthcare Group, Melbourne, Australia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</w:p>
    <w:p>
      <w:pPr>
        <w:pStyle w:val="Compact"/>
        <w:numPr>
          <w:ilvl w:val="0"/>
          <w:numId w:val="1004"/>
        </w:numPr>
      </w:pPr>
      <w:r>
        <w:t xml:space="preserve">Served as architecture owner for enterprise analytics capability supporting 250+ data endpoints.</w:t>
      </w:r>
    </w:p>
    <w:p>
      <w:pPr>
        <w:pStyle w:val="Compact"/>
        <w:numPr>
          <w:ilvl w:val="0"/>
          <w:numId w:val="1004"/>
        </w:numPr>
      </w:pPr>
      <w:r>
        <w:t xml:space="preserve">Translated business requirements into implementable technical designs for robust ADF pipelines and integration services.</w:t>
      </w:r>
    </w:p>
    <w:p>
      <w:pPr>
        <w:pStyle w:val="Compact"/>
        <w:numPr>
          <w:ilvl w:val="0"/>
          <w:numId w:val="1004"/>
        </w:numPr>
      </w:pPr>
      <w:r>
        <w:t xml:space="preserve">Delivered scalable batch and near real-time ingestion patterns using Azure-native, event-driven approaches.</w:t>
      </w:r>
    </w:p>
    <w:p>
      <w:pPr>
        <w:pStyle w:val="Compact"/>
        <w:numPr>
          <w:ilvl w:val="0"/>
          <w:numId w:val="1004"/>
        </w:numPr>
      </w:pPr>
      <w:r>
        <w:t xml:space="preserve">Partnered with stakeholders across technology and business teams to deliver end-to-end data and reporting outcomes.</w:t>
      </w:r>
    </w:p>
    <w:p>
      <w:pPr>
        <w:pStyle w:val="Compact"/>
        <w:numPr>
          <w:ilvl w:val="0"/>
          <w:numId w:val="1004"/>
        </w:numPr>
      </w:pPr>
      <w:r>
        <w:t xml:space="preserve">Strengthened governance, security, and quality controls aligned to regulated operating requirements.</w:t>
      </w:r>
    </w:p>
    <w:bookmarkEnd w:id="14"/>
    <w:bookmarkStart w:id="15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</w:p>
    <w:p>
      <w:pPr>
        <w:pStyle w:val="Compact"/>
        <w:numPr>
          <w:ilvl w:val="0"/>
          <w:numId w:val="1005"/>
        </w:numPr>
      </w:pPr>
      <w:r>
        <w:t xml:space="preserve">Stabilised enterprise data warehouse operations across Australia and New Zealand, improving reliability and reducing cost.</w:t>
      </w:r>
    </w:p>
    <w:p>
      <w:pPr>
        <w:pStyle w:val="Compact"/>
        <w:numPr>
          <w:ilvl w:val="0"/>
          <w:numId w:val="1005"/>
        </w:numPr>
      </w:pPr>
      <w:r>
        <w:t xml:space="preserve">Acted as technical escalation point for complex incidents, production support issues, and performance bottlenecks.</w:t>
      </w:r>
    </w:p>
    <w:p>
      <w:pPr>
        <w:pStyle w:val="Compact"/>
        <w:numPr>
          <w:ilvl w:val="0"/>
          <w:numId w:val="1005"/>
        </w:numPr>
      </w:pPr>
      <w:r>
        <w:t xml:space="preserve">Performed root cause analysis and implemented sustainable fixes to improve service continuity and supportability.</w:t>
      </w:r>
    </w:p>
    <w:bookmarkEnd w:id="15"/>
    <w:bookmarkStart w:id="16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</w:p>
    <w:p>
      <w:pPr>
        <w:pStyle w:val="Compact"/>
        <w:numPr>
          <w:ilvl w:val="0"/>
          <w:numId w:val="1006"/>
        </w:numPr>
      </w:pPr>
      <w:r>
        <w:t xml:space="preserve">Primary DBA for New Zealand’s national e-Prescription platform in a mission-critical healthcare environment.</w:t>
      </w:r>
    </w:p>
    <w:p>
      <w:pPr>
        <w:pStyle w:val="Compact"/>
        <w:numPr>
          <w:ilvl w:val="0"/>
          <w:numId w:val="1006"/>
        </w:numPr>
      </w:pPr>
      <w:r>
        <w:t xml:space="preserve">Led 8 TB SQL Server to Azure migration with minimal downtime and robust cutover governance.</w:t>
      </w:r>
    </w:p>
    <w:p>
      <w:pPr>
        <w:pStyle w:val="Compact"/>
        <w:numPr>
          <w:ilvl w:val="0"/>
          <w:numId w:val="1006"/>
        </w:numPr>
      </w:pPr>
      <w:r>
        <w:t xml:space="preserve">Improved scalability, security posture, and compliance through hardening, partitioning, and performance optimization.</w:t>
      </w:r>
    </w:p>
    <w:bookmarkEnd w:id="16"/>
    <w:bookmarkStart w:id="17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</w:p>
    <w:p>
      <w:pPr>
        <w:pStyle w:val="Compact"/>
        <w:numPr>
          <w:ilvl w:val="0"/>
          <w:numId w:val="1007"/>
        </w:numPr>
      </w:pPr>
      <w:r>
        <w:t xml:space="preserve">Delivered healthcare data integration solutions, including HL7 real-time e-Prescription pipelines.</w:t>
      </w:r>
    </w:p>
    <w:p>
      <w:pPr>
        <w:pStyle w:val="Compact"/>
        <w:numPr>
          <w:ilvl w:val="0"/>
          <w:numId w:val="1007"/>
        </w:numPr>
      </w:pPr>
      <w:r>
        <w:t xml:space="preserve">Built reliable reporting and extract processes for operational and Ministry of Health requirements.</w:t>
      </w:r>
    </w:p>
    <w:bookmarkEnd w:id="17"/>
    <w:bookmarkStart w:id="18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</w:p>
    <w:p>
      <w:pPr>
        <w:pStyle w:val="Compact"/>
        <w:numPr>
          <w:ilvl w:val="0"/>
          <w:numId w:val="1008"/>
        </w:numPr>
      </w:pPr>
      <w:r>
        <w:t xml:space="preserve">Delivered migration pipelines from legacy systems to TechnologyOne with strong data quality assurance.</w:t>
      </w:r>
    </w:p>
    <w:p>
      <w:pPr>
        <w:pStyle w:val="Compact"/>
        <w:numPr>
          <w:ilvl w:val="0"/>
          <w:numId w:val="1008"/>
        </w:numPr>
      </w:pPr>
      <w:r>
        <w:t xml:space="preserve">Led UAT, production cutover planning, and risk-managed release activities.</w:t>
      </w:r>
    </w:p>
    <w:bookmarkEnd w:id="18"/>
    <w:bookmarkStart w:id="19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</w:p>
    <w:p>
      <w:pPr>
        <w:pStyle w:val="Compact"/>
        <w:numPr>
          <w:ilvl w:val="0"/>
          <w:numId w:val="1009"/>
        </w:numPr>
      </w:pPr>
      <w:r>
        <w:t xml:space="preserve">Modernised legacy Microsoft Access systems to SQL Server and .NET platform solutions.</w:t>
      </w:r>
    </w:p>
    <w:p>
      <w:pPr>
        <w:pStyle w:val="Compact"/>
        <w:numPr>
          <w:ilvl w:val="0"/>
          <w:numId w:val="1009"/>
        </w:numPr>
      </w:pPr>
      <w:r>
        <w:t xml:space="preserve">Supported clinical data migration and go-live activities in regulated healthcare environments.</w:t>
      </w:r>
    </w:p>
    <w:bookmarkEnd w:id="19"/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10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10"/>
        </w:numPr>
      </w:pPr>
      <w:r>
        <w:t xml:space="preserve">A/L (Double Maths, Physics, Chemistry) - Ananda College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2026-02-23T05:24:46Z</dcterms:created>
  <dcterms:modified xsi:type="dcterms:W3CDTF">2026-02-23T05:24:46Z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