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Broadmeadows/Cremorne hybrid and multi-campus travel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senior-data-engineer"/>
    <w:p>
      <w:pPr>
        <w:pStyle w:val="Heading2"/>
      </w:pPr>
      <w:r>
        <w:t xml:space="preserve">Senior Data Engineer</w:t>
      </w:r>
    </w:p>
    <w:bookmarkEnd w:id="9"/>
    <w:bookmarkStart w:id="10" w:name="key-highlights"/>
    <w:p>
      <w:pPr>
        <w:pStyle w:val="Heading2"/>
      </w:pPr>
      <w:r>
        <w:t xml:space="preserve">Key Highlights</w:t>
      </w:r>
    </w:p>
    <w:p>
      <w:pPr>
        <w:pStyle w:val="Compact"/>
        <w:numPr>
          <w:ilvl w:val="0"/>
          <w:numId w:val="1001"/>
        </w:numPr>
      </w:pPr>
      <w:r>
        <w:t xml:space="preserve">15+ years in data engineering, enterprise data architecture, and analytics platform delivery across education, healthcare, and other regulated environments in Australia and New Zealand.</w:t>
      </w:r>
    </w:p>
    <w:p>
      <w:pPr>
        <w:pStyle w:val="Compact"/>
        <w:numPr>
          <w:ilvl w:val="0"/>
          <w:numId w:val="1001"/>
        </w:numPr>
      </w:pPr>
      <w:r>
        <w:t xml:space="preserve">Led design and optimisation of enterprise data ecosystems and Central Data Platform capabilities with strong governance, quality, and operational reliability outcomes.</w:t>
      </w:r>
    </w:p>
    <w:p>
      <w:pPr>
        <w:pStyle w:val="Compact"/>
        <w:numPr>
          <w:ilvl w:val="0"/>
          <w:numId w:val="1001"/>
        </w:numPr>
      </w:pPr>
      <w:r>
        <w:t xml:space="preserve">Built scalable data pipelines across APIs, databases, and third-party systems using ETL/ELT patterns for batch and near real-time workloads.</w:t>
      </w:r>
    </w:p>
    <w:p>
      <w:pPr>
        <w:pStyle w:val="Compact"/>
        <w:numPr>
          <w:ilvl w:val="0"/>
          <w:numId w:val="1001"/>
        </w:numPr>
      </w:pPr>
      <w:r>
        <w:t xml:space="preserve">Strong Azure delivery background spanning Azure Databricks, Azure Data Lake Storage, Azure SQL/Synapse, Event Grid, Event Hub, Microsoft Fabric, and CI/CD-enabled engineering practices.</w:t>
      </w:r>
    </w:p>
    <w:p>
      <w:pPr>
        <w:pStyle w:val="Compact"/>
        <w:numPr>
          <w:ilvl w:val="0"/>
          <w:numId w:val="1001"/>
        </w:numPr>
      </w:pPr>
      <w:r>
        <w:t xml:space="preserve">Designed enterprise data models (conceptual, logical, physical) and improved ingestion, monitoring, orchestration, and platform performance.</w:t>
      </w:r>
    </w:p>
    <w:p>
      <w:pPr>
        <w:pStyle w:val="Compact"/>
        <w:numPr>
          <w:ilvl w:val="0"/>
          <w:numId w:val="1001"/>
        </w:numPr>
      </w:pPr>
      <w:r>
        <w:t xml:space="preserve">Proven stakeholder partner across business and technology functions, with experience mentoring engineers and translating strategy into hands-on implementation.</w:t>
      </w:r>
    </w:p>
    <w:bookmarkEnd w:id="10"/>
    <w:bookmarkStart w:id="11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Hands-on Senior Data Engineer and data platform leader with 15+ years of experience designing, implementing, and optimising enterprise data platforms in regulated environments. Deep expertise in SQL, ETL/ELT, data modelling, API integration, and governance-driven data engineering across healthcare and enterprise settings. Strong delivery capability across Azure cloud data services, including Azure Databricks, Azure Data Lake Storage, Azure SQL/Synapse, Azure Data Factory, Event Grid, Event Hub, Microsoft Fabric, DevOps automation, and Git-based CI/CD workflows. Known for structured analytical problem solving, strong stakeholder engagement, and practical leadership that lifts data quality, observability, and lifecycle management.</w:t>
      </w:r>
    </w:p>
    <w:bookmarkEnd w:id="11"/>
    <w:bookmarkStart w:id="12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2"/>
        </w:numPr>
      </w:pPr>
      <w:r>
        <w:t xml:space="preserve">Enterprise Data Platform Engineering and Optimisation</w:t>
      </w:r>
    </w:p>
    <w:p>
      <w:pPr>
        <w:pStyle w:val="Compact"/>
        <w:numPr>
          <w:ilvl w:val="0"/>
          <w:numId w:val="1002"/>
        </w:numPr>
      </w:pPr>
      <w:r>
        <w:t xml:space="preserve">Conceptual, Logical, and Physical Data Modelling</w:t>
      </w:r>
    </w:p>
    <w:p>
      <w:pPr>
        <w:pStyle w:val="Compact"/>
        <w:numPr>
          <w:ilvl w:val="0"/>
          <w:numId w:val="1002"/>
        </w:numPr>
      </w:pPr>
      <w:r>
        <w:t xml:space="preserve">API, Database, and Third-Party Data Pipeline Integration</w:t>
      </w:r>
    </w:p>
    <w:p>
      <w:pPr>
        <w:pStyle w:val="Compact"/>
        <w:numPr>
          <w:ilvl w:val="0"/>
          <w:numId w:val="1002"/>
        </w:numPr>
      </w:pPr>
      <w:r>
        <w:t xml:space="preserve">Data Ingestion, Monitoring, and Orchestration</w:t>
      </w:r>
    </w:p>
    <w:p>
      <w:pPr>
        <w:pStyle w:val="Compact"/>
        <w:numPr>
          <w:ilvl w:val="0"/>
          <w:numId w:val="1002"/>
        </w:numPr>
      </w:pPr>
      <w:r>
        <w:t xml:space="preserve">DevOps/DataOps, CI/CD, and Platform Lifecycle Management</w:t>
      </w:r>
    </w:p>
    <w:p>
      <w:pPr>
        <w:pStyle w:val="Compact"/>
        <w:numPr>
          <w:ilvl w:val="0"/>
          <w:numId w:val="1002"/>
        </w:numPr>
      </w:pPr>
      <w:r>
        <w:t xml:space="preserve">Data Governance, Metadata, Lineage, Cataloguing, and Classification</w:t>
      </w:r>
    </w:p>
    <w:p>
      <w:pPr>
        <w:pStyle w:val="Compact"/>
        <w:numPr>
          <w:ilvl w:val="0"/>
          <w:numId w:val="1002"/>
        </w:numPr>
      </w:pPr>
      <w:r>
        <w:t xml:space="preserve">Data Quality Controls, Validation, and Continuous Improvement</w:t>
      </w:r>
    </w:p>
    <w:p>
      <w:pPr>
        <w:pStyle w:val="Compact"/>
        <w:numPr>
          <w:ilvl w:val="0"/>
          <w:numId w:val="1002"/>
        </w:numPr>
      </w:pPr>
      <w:r>
        <w:t xml:space="preserve">Azure Cloud Data Engineering and Fabric-Aligned Delivery</w:t>
      </w:r>
    </w:p>
    <w:p>
      <w:pPr>
        <w:pStyle w:val="Compact"/>
        <w:numPr>
          <w:ilvl w:val="0"/>
          <w:numId w:val="1002"/>
        </w:numPr>
      </w:pPr>
      <w:r>
        <w:t xml:space="preserve">Technical Mentoring and Cross-Functional Stakeholder Engagement</w:t>
      </w:r>
    </w:p>
    <w:bookmarkEnd w:id="12"/>
    <w:bookmarkStart w:id="13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3"/>
        </w:numPr>
      </w:pPr>
      <w:r>
        <w:t xml:space="preserve">Data Engineering: ETL/ELT, SQL pipeline design, orchestration, reconciliation, and automation</w:t>
      </w:r>
    </w:p>
    <w:p>
      <w:pPr>
        <w:pStyle w:val="Compact"/>
        <w:numPr>
          <w:ilvl w:val="0"/>
          <w:numId w:val="1003"/>
        </w:numPr>
      </w:pPr>
      <w:r>
        <w:t xml:space="preserve">Azure and Cloud: Azure Databricks, Azure Data Lake Storage, Azure SQL, Synapse, Azure Data Factory, Event Grid, Event Hub, Azure Functions, Microsoft Fabric</w:t>
      </w:r>
    </w:p>
    <w:p>
      <w:pPr>
        <w:pStyle w:val="Compact"/>
        <w:numPr>
          <w:ilvl w:val="0"/>
          <w:numId w:val="1003"/>
        </w:numPr>
      </w:pPr>
      <w:r>
        <w:t xml:space="preserve">Engineering Practices: Azure DevOps, Git, CI/CD, observability, monitoring, and release controls</w:t>
      </w:r>
    </w:p>
    <w:p>
      <w:pPr>
        <w:pStyle w:val="Compact"/>
        <w:numPr>
          <w:ilvl w:val="0"/>
          <w:numId w:val="1003"/>
        </w:numPr>
      </w:pPr>
      <w:r>
        <w:t xml:space="preserve">Data Modelling: Enterprise data models (conceptual, logical, physical), dimensional modelling, semantic alignment</w:t>
      </w:r>
    </w:p>
    <w:p>
      <w:pPr>
        <w:pStyle w:val="Compact"/>
        <w:numPr>
          <w:ilvl w:val="0"/>
          <w:numId w:val="1003"/>
        </w:numPr>
      </w:pPr>
      <w:r>
        <w:t xml:space="preserve">Governance: Metadata and lineage controls, cataloguing and classification practices, quality and validation frameworks</w:t>
      </w:r>
    </w:p>
    <w:p>
      <w:pPr>
        <w:pStyle w:val="Compact"/>
        <w:numPr>
          <w:ilvl w:val="0"/>
          <w:numId w:val="1003"/>
        </w:numPr>
      </w:pPr>
      <w:r>
        <w:t xml:space="preserve">Platforms: SQL Server, T-SQL, SSIS, Power BI, REST/SOAP integration</w:t>
      </w:r>
    </w:p>
    <w:p>
      <w:pPr>
        <w:pStyle w:val="Compact"/>
        <w:numPr>
          <w:ilvl w:val="0"/>
          <w:numId w:val="1003"/>
        </w:numPr>
      </w:pPr>
      <w:r>
        <w:t xml:space="preserve">Additional Exposure: ARM/Bicep-style IaC collaboration and Purview-oriented governance outcomes</w:t>
      </w:r>
    </w:p>
    <w:bookmarkEnd w:id="13"/>
    <w:bookmarkStart w:id="23" w:name="professional-experience"/>
    <w:p>
      <w:pPr>
        <w:pStyle w:val="Heading2"/>
      </w:pPr>
      <w:r>
        <w:t xml:space="preserve">Professional Experience</w:t>
      </w:r>
    </w:p>
    <w:bookmarkStart w:id="14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  <w:r>
        <w:t xml:space="preserve"> </w:t>
      </w:r>
      <w:r>
        <w:t xml:space="preserve">- Led implementation and optimisation of Central Data Platform and enterprise data platform capabilities aligned to architecture principles and strategic roadmap.</w:t>
      </w:r>
      <w:r>
        <w:t xml:space="preserve"> </w:t>
      </w:r>
      <w:r>
        <w:t xml:space="preserve">- Designed robust data models and integration patterns across APIs, operational databases, and third-party source systems.</w:t>
      </w:r>
      <w:r>
        <w:t xml:space="preserve"> </w:t>
      </w:r>
      <w:r>
        <w:t xml:space="preserve">- Delivered scalable ingestion and orchestration pipelines across Azure/Fabric components with improved observability and run reliability.</w:t>
      </w:r>
      <w:r>
        <w:t xml:space="preserve"> </w:t>
      </w:r>
      <w:r>
        <w:t xml:space="preserve">- Embedded DevOps/DataOps disciplines with Git workflows, CI/CD automation, release governance, and support runbooks.</w:t>
      </w:r>
      <w:r>
        <w:t xml:space="preserve"> </w:t>
      </w:r>
      <w:r>
        <w:t xml:space="preserve">- Improved data quality through metadata-led controls, lineage-aware validation, and proactive monitoring.</w:t>
      </w:r>
      <w:r>
        <w:t xml:space="preserve"> </w:t>
      </w:r>
      <w:r>
        <w:t xml:space="preserve">- Mentored engineers and coordinated with ICT and business stakeholders to convert requirements into production-ready engineering outcomes.</w:t>
      </w:r>
    </w:p>
    <w:bookmarkEnd w:id="14"/>
    <w:bookmarkStart w:id="15" w:name="Xc5ef9dceb191335fc8ab039a61e2c9c79182478"/>
    <w:p>
      <w:pPr>
        <w:pStyle w:val="Heading3"/>
      </w:pPr>
      <w:r>
        <w:t xml:space="preserve">Abano Healthcare Group, Melbourne, Australia and New Zealand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  <w:r>
        <w:t xml:space="preserve"> </w:t>
      </w:r>
      <w:r>
        <w:t xml:space="preserve">- Owned enterprise data architecture and led current-state to target-state modernization across 250+ integration endpoints.</w:t>
      </w:r>
      <w:r>
        <w:t xml:space="preserve"> </w:t>
      </w:r>
      <w:r>
        <w:t xml:space="preserve">- Defined conceptual and logical data models plus implementation guardrails for scalable reporting and analytics.</w:t>
      </w:r>
      <w:r>
        <w:t xml:space="preserve"> </w:t>
      </w:r>
      <w:r>
        <w:t xml:space="preserve">- Designed and governed data pipelines across finance, payroll, CRM, and operational systems with strong quality controls.</w:t>
      </w:r>
      <w:r>
        <w:t xml:space="preserve"> </w:t>
      </w:r>
      <w:r>
        <w:t xml:space="preserve">- Worked with senior stakeholders to explain technical trade-offs and align engineering priorities to business objectives.</w:t>
      </w:r>
      <w:r>
        <w:t xml:space="preserve"> </w:t>
      </w:r>
      <w:r>
        <w:t xml:space="preserve">- Lifted governance maturity through lineage documentation, data standards, metadata practices, and delivery assurance.</w:t>
      </w:r>
      <w:r>
        <w:t xml:space="preserve"> </w:t>
      </w:r>
      <w:r>
        <w:t xml:space="preserve">- Supported team capability uplift through design leadership, peer coaching, and engineering best-practice adoption.</w:t>
      </w:r>
    </w:p>
    <w:bookmarkEnd w:id="15"/>
    <w:bookmarkStart w:id="16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  <w:r>
        <w:t xml:space="preserve"> </w:t>
      </w:r>
      <w:r>
        <w:t xml:space="preserve">- Improved SQL Server performance, resilience, and platform reliability for business-critical services.</w:t>
      </w:r>
      <w:r>
        <w:t xml:space="preserve"> </w:t>
      </w:r>
      <w:r>
        <w:t xml:space="preserve">- Supported integration-heavy delivery initiatives and established stronger operational controls.</w:t>
      </w:r>
      <w:r>
        <w:t xml:space="preserve"> </w:t>
      </w:r>
      <w:r>
        <w:t xml:space="preserve">- Partnered with engineers and business users to troubleshoot issues and optimize service outcomes.</w:t>
      </w:r>
    </w:p>
    <w:bookmarkEnd w:id="16"/>
    <w:bookmarkStart w:id="17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  <w:r>
        <w:t xml:space="preserve"> </w:t>
      </w:r>
      <w:r>
        <w:t xml:space="preserve">- Primary DBA for New Zealand’s national e-Prescription platform in a high-availability regulated environment.</w:t>
      </w:r>
      <w:r>
        <w:t xml:space="preserve"> </w:t>
      </w:r>
      <w:r>
        <w:t xml:space="preserve">- Led 8 TB SQL Server to Azure migration with staged validation, performance tuning, and controlled cutover.</w:t>
      </w:r>
      <w:r>
        <w:t xml:space="preserve"> </w:t>
      </w:r>
      <w:r>
        <w:t xml:space="preserve">- Implemented retention and governance controls that strengthened compliance and long-term data accessibility.</w:t>
      </w:r>
      <w:r>
        <w:t xml:space="preserve"> </w:t>
      </w:r>
      <w:r>
        <w:t xml:space="preserve">- Coordinated engineering, QA, and release activities to improve deployment quality and operational continuity.</w:t>
      </w:r>
    </w:p>
    <w:bookmarkEnd w:id="17"/>
    <w:bookmarkStart w:id="18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  <w:r>
        <w:t xml:space="preserve"> </w:t>
      </w:r>
      <w:r>
        <w:t xml:space="preserve">- Built and maintained SQL-based ETL and reporting pipelines supporting healthcare operations.</w:t>
      </w:r>
      <w:r>
        <w:t xml:space="preserve"> </w:t>
      </w:r>
      <w:r>
        <w:t xml:space="preserve">- Enhanced data processing performance and strengthened reporting reliability through tuned transformations.</w:t>
      </w:r>
    </w:p>
    <w:bookmarkEnd w:id="18"/>
    <w:bookmarkStart w:id="19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  <w:r>
        <w:t xml:space="preserve"> </w:t>
      </w:r>
      <w:r>
        <w:t xml:space="preserve">- Led Finance and Property system migration to TechnologyOne, including data conversion and live cutover.</w:t>
      </w:r>
      <w:r>
        <w:t xml:space="preserve"> </w:t>
      </w:r>
      <w:r>
        <w:t xml:space="preserve">- Delivered end-to-end migration engineering with testing, UAT support, and post-go-live stabilization.</w:t>
      </w:r>
    </w:p>
    <w:bookmarkEnd w:id="19"/>
    <w:bookmarkStart w:id="20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  <w:r>
        <w:t xml:space="preserve"> </w:t>
      </w:r>
      <w:r>
        <w:t xml:space="preserve">- Modernized legacy Access systems to SQL Server/.NET-aligned platforms for improved capability and supportability.</w:t>
      </w:r>
      <w:r>
        <w:t xml:space="preserve"> </w:t>
      </w:r>
      <w:r>
        <w:t xml:space="preserve">- Supported clinical data migration and production go-live activities in regulated healthcare operations.</w:t>
      </w:r>
    </w:p>
    <w:bookmarkEnd w:id="20"/>
    <w:bookmarkStart w:id="21" w:name="nations-trust-bank-sri-lanka"/>
    <w:p>
      <w:pPr>
        <w:pStyle w:val="Heading3"/>
      </w:pPr>
      <w:r>
        <w:t xml:space="preserve">Nations Trust Bank, Sri Lanka</w:t>
      </w:r>
    </w:p>
    <w:p>
      <w:pPr>
        <w:pStyle w:val="FirstParagraph"/>
      </w:pPr>
      <w:r>
        <w:rPr>
          <w:b/>
          <w:bCs/>
        </w:rPr>
        <w:t xml:space="preserve">Senior Manager, Information Technology | Sep 1999 - Mar 2003</w:t>
      </w:r>
      <w:r>
        <w:t xml:space="preserve"> </w:t>
      </w:r>
      <w:r>
        <w:t xml:space="preserve">- Led enterprise technology implementation programs, integration outcomes, and service continuity activities.</w:t>
      </w:r>
      <w:r>
        <w:t xml:space="preserve"> </w:t>
      </w:r>
      <w:r>
        <w:t xml:space="preserve">- Directed cross-functional technical delivery and vendor coordination for multi-channel platform upgrades.</w:t>
      </w:r>
    </w:p>
    <w:bookmarkEnd w:id="21"/>
    <w:bookmarkStart w:id="22" w:name="eutech-cybernetic"/>
    <w:p>
      <w:pPr>
        <w:pStyle w:val="Heading3"/>
      </w:pPr>
      <w:r>
        <w:t xml:space="preserve">Eutech Cybernetic</w:t>
      </w:r>
    </w:p>
    <w:p>
      <w:pPr>
        <w:pStyle w:val="FirstParagraph"/>
      </w:pPr>
      <w:r>
        <w:rPr>
          <w:b/>
          <w:bCs/>
        </w:rPr>
        <w:t xml:space="preserve">OEM Manager | Feb 1998 - Sep 1999</w:t>
      </w:r>
      <w:r>
        <w:t xml:space="preserve"> </w:t>
      </w:r>
      <w:r>
        <w:t xml:space="preserve">- Managed software delivery lifecycle, QA governance, and technical leadership for intelligent building solutions.</w:t>
      </w:r>
    </w:p>
    <w:bookmarkEnd w:id="22"/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4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04"/>
        </w:numPr>
      </w:pPr>
      <w:r>
        <w:t xml:space="preserve">A/L (Double Maths, Physics, Chemistry) - Ananda College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2026-03-01T23:36:49Z</dcterms:created>
  <dcterms:modified xsi:type="dcterms:W3CDTF">2026-03-01T23:36:49Z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