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udath-attanayake"/>
    <w:p>
      <w:pPr>
        <w:pStyle w:val="Heading1"/>
      </w:pPr>
      <w:r>
        <w:t xml:space="preserve">Sudath Attanayake</w:t>
      </w:r>
    </w:p>
    <w:p>
      <w:pPr>
        <w:pStyle w:val="FirstParagraph"/>
      </w:pPr>
      <w:r>
        <w:t xml:space="preserve">Melbourne, VIC, Australia | Available for hybrid and onsite roles</w:t>
      </w:r>
      <w:r>
        <w:t xml:space="preserve"> </w:t>
      </w:r>
      <w:r>
        <w:t xml:space="preserve">LinkedIn: linkedin.com/in/sudath-attanayake | Email: sudatha@gmail.com | Phone: 0411040055</w:t>
      </w:r>
    </w:p>
    <w:bookmarkStart w:id="9" w:name="consultant---data-mapping-and-validation"/>
    <w:p>
      <w:pPr>
        <w:pStyle w:val="Heading2"/>
      </w:pPr>
      <w:r>
        <w:t xml:space="preserve">Consultant - Data Mapping and Validation</w:t>
      </w:r>
    </w:p>
    <w:bookmarkEnd w:id="9"/>
    <w:bookmarkStart w:id="10" w:name="key-highlights"/>
    <w:p>
      <w:pPr>
        <w:pStyle w:val="Heading2"/>
      </w:pPr>
      <w:r>
        <w:t xml:space="preserve">Key Highlights</w:t>
      </w:r>
    </w:p>
    <w:p>
      <w:pPr>
        <w:pStyle w:val="Compact"/>
        <w:numPr>
          <w:ilvl w:val="0"/>
          <w:numId w:val="1001"/>
        </w:numPr>
      </w:pPr>
      <w:r>
        <w:t xml:space="preserve">15+ years delivering data migration, data mapping, validation, and reconciliation outcomes across banking, healthcare, and enterprise programs in Australia and New Zealand.</w:t>
      </w:r>
    </w:p>
    <w:p>
      <w:pPr>
        <w:pStyle w:val="Compact"/>
        <w:numPr>
          <w:ilvl w:val="0"/>
          <w:numId w:val="1001"/>
        </w:numPr>
      </w:pPr>
      <w:r>
        <w:t xml:space="preserve">Strong BA and data analysis fundamentals with disciplined documentation across mapping specifications, rulebooks, runbooks, and test evidence artefacts.</w:t>
      </w:r>
    </w:p>
    <w:p>
      <w:pPr>
        <w:pStyle w:val="Compact"/>
        <w:numPr>
          <w:ilvl w:val="0"/>
          <w:numId w:val="1001"/>
        </w:numPr>
      </w:pPr>
      <w:r>
        <w:t xml:space="preserve">Deep experience profiling source data, documenting source and target structures, and defining mapping rules for complex transformations including edge cases.</w:t>
      </w:r>
    </w:p>
    <w:p>
      <w:pPr>
        <w:pStyle w:val="Compact"/>
        <w:numPr>
          <w:ilvl w:val="0"/>
          <w:numId w:val="1001"/>
        </w:numPr>
      </w:pPr>
      <w:r>
        <w:t xml:space="preserve">Built pre-load and post-load validation checks, reconciliations, and exception handling controls to support audit-ready cutovers.</w:t>
      </w:r>
    </w:p>
    <w:p>
      <w:pPr>
        <w:pStyle w:val="Compact"/>
        <w:numPr>
          <w:ilvl w:val="0"/>
          <w:numId w:val="1001"/>
        </w:numPr>
      </w:pPr>
      <w:r>
        <w:t xml:space="preserve">Hands-on support for SIT and UAT, including defect triage, root-cause analysis, retest coordination, and readiness gate reporting.</w:t>
      </w:r>
    </w:p>
    <w:p>
      <w:pPr>
        <w:pStyle w:val="Compact"/>
        <w:numPr>
          <w:ilvl w:val="0"/>
          <w:numId w:val="1001"/>
        </w:numPr>
      </w:pPr>
      <w:r>
        <w:t xml:space="preserve">Trusted partner to architects, engineers, and product stakeholders, maintaining mapping accuracy and artefact quality under tight delivery timelines.</w:t>
      </w:r>
    </w:p>
    <w:bookmarkEnd w:id="10"/>
    <w:bookmarkStart w:id="11" w:name="professional-summary"/>
    <w:p>
      <w:pPr>
        <w:pStyle w:val="Heading2"/>
      </w:pPr>
      <w:r>
        <w:t xml:space="preserve">Professional Summary</w:t>
      </w:r>
    </w:p>
    <w:p>
      <w:pPr>
        <w:pStyle w:val="FirstParagraph"/>
      </w:pPr>
      <w:r>
        <w:t xml:space="preserve">Data and integration professional with 15+ years of experience delivering migration and transformation initiatives where evidence quality, traceability, and audit cleanliness are critical. Proven track record creating testable mapping specs, validation rulebooks, reconciliation controls, and cutover artefacts that make approvals faster and go-live outcomes predictable. Strong in SQL-based analysis, ETL/ELT delivery, and structured test support, with a practical and customer-obsessed approach to resolving edge cases and reducing migration risk.</w:t>
      </w:r>
    </w:p>
    <w:bookmarkEnd w:id="11"/>
    <w:bookmarkStart w:id="12" w:name="core-competencies"/>
    <w:p>
      <w:pPr>
        <w:pStyle w:val="Heading2"/>
      </w:pPr>
      <w:r>
        <w:t xml:space="preserve">Core Competencies</w:t>
      </w:r>
    </w:p>
    <w:p>
      <w:pPr>
        <w:pStyle w:val="Compact"/>
        <w:numPr>
          <w:ilvl w:val="0"/>
          <w:numId w:val="1002"/>
        </w:numPr>
      </w:pPr>
      <w:r>
        <w:t xml:space="preserve">Data Mapping Specifications and Rulebook Ownership</w:t>
      </w:r>
    </w:p>
    <w:p>
      <w:pPr>
        <w:pStyle w:val="Compact"/>
        <w:numPr>
          <w:ilvl w:val="0"/>
          <w:numId w:val="1002"/>
        </w:numPr>
      </w:pPr>
      <w:r>
        <w:t xml:space="preserve">Source Data Profiling and Structure Documentation</w:t>
      </w:r>
    </w:p>
    <w:p>
      <w:pPr>
        <w:pStyle w:val="Compact"/>
        <w:numPr>
          <w:ilvl w:val="0"/>
          <w:numId w:val="1002"/>
        </w:numPr>
      </w:pPr>
      <w:r>
        <w:t xml:space="preserve">Validation Rules, Reconciliations, and Exception Flows</w:t>
      </w:r>
    </w:p>
    <w:p>
      <w:pPr>
        <w:pStyle w:val="Compact"/>
        <w:numPr>
          <w:ilvl w:val="0"/>
          <w:numId w:val="1002"/>
        </w:numPr>
      </w:pPr>
      <w:r>
        <w:t xml:space="preserve">SIT/UAT Test Support and Defect Triage</w:t>
      </w:r>
    </w:p>
    <w:p>
      <w:pPr>
        <w:pStyle w:val="Compact"/>
        <w:numPr>
          <w:ilvl w:val="0"/>
          <w:numId w:val="1002"/>
        </w:numPr>
      </w:pPr>
      <w:r>
        <w:t xml:space="preserve">Pre-Load and Post-Load Evidence Artefacts</w:t>
      </w:r>
    </w:p>
    <w:p>
      <w:pPr>
        <w:pStyle w:val="Compact"/>
        <w:numPr>
          <w:ilvl w:val="0"/>
          <w:numId w:val="1002"/>
        </w:numPr>
      </w:pPr>
      <w:r>
        <w:t xml:space="preserve">Cutover Runbooks and Readiness Gates</w:t>
      </w:r>
    </w:p>
    <w:p>
      <w:pPr>
        <w:pStyle w:val="Compact"/>
        <w:numPr>
          <w:ilvl w:val="0"/>
          <w:numId w:val="1002"/>
        </w:numPr>
      </w:pPr>
      <w:r>
        <w:t xml:space="preserve">BA and Data Analysis for Migration Delivery</w:t>
      </w:r>
    </w:p>
    <w:p>
      <w:pPr>
        <w:pStyle w:val="Compact"/>
        <w:numPr>
          <w:ilvl w:val="0"/>
          <w:numId w:val="1002"/>
        </w:numPr>
      </w:pPr>
      <w:r>
        <w:t xml:space="preserve">Data Quality Management and Control Design</w:t>
      </w:r>
    </w:p>
    <w:p>
      <w:pPr>
        <w:pStyle w:val="Compact"/>
        <w:numPr>
          <w:ilvl w:val="0"/>
          <w:numId w:val="1002"/>
        </w:numPr>
      </w:pPr>
      <w:r>
        <w:t xml:space="preserve">Audit-Ready Documentation and Traceability</w:t>
      </w:r>
    </w:p>
    <w:p>
      <w:pPr>
        <w:pStyle w:val="Compact"/>
        <w:numPr>
          <w:ilvl w:val="0"/>
          <w:numId w:val="1002"/>
        </w:numPr>
      </w:pPr>
      <w:r>
        <w:t xml:space="preserve">Cross-Functional Delivery with Architects, Engineers, and Product Teams</w:t>
      </w:r>
    </w:p>
    <w:bookmarkEnd w:id="12"/>
    <w:bookmarkStart w:id="13" w:name="technical-skills"/>
    <w:p>
      <w:pPr>
        <w:pStyle w:val="Heading2"/>
      </w:pPr>
      <w:r>
        <w:t xml:space="preserve">Technical Skills</w:t>
      </w:r>
    </w:p>
    <w:p>
      <w:pPr>
        <w:pStyle w:val="Compact"/>
        <w:numPr>
          <w:ilvl w:val="0"/>
          <w:numId w:val="1003"/>
        </w:numPr>
      </w:pPr>
      <w:r>
        <w:t xml:space="preserve">SQL Server and T-SQL: data profiling, reconciliation queries, transformation logic, and validation reporting</w:t>
      </w:r>
    </w:p>
    <w:p>
      <w:pPr>
        <w:pStyle w:val="Compact"/>
        <w:numPr>
          <w:ilvl w:val="0"/>
          <w:numId w:val="1003"/>
        </w:numPr>
      </w:pPr>
      <w:r>
        <w:t xml:space="preserve">Data Integration: SSIS, Azure Data Factory, ETL/ELT orchestration, and controlled migration execution</w:t>
      </w:r>
    </w:p>
    <w:p>
      <w:pPr>
        <w:pStyle w:val="Compact"/>
        <w:numPr>
          <w:ilvl w:val="0"/>
          <w:numId w:val="1003"/>
        </w:numPr>
      </w:pPr>
      <w:r>
        <w:t xml:space="preserve">Data Platforms: Azure SQL, Azure Synapse, Microsoft Fabric, enterprise warehouse and lakehouse patterns</w:t>
      </w:r>
    </w:p>
    <w:p>
      <w:pPr>
        <w:pStyle w:val="Compact"/>
        <w:numPr>
          <w:ilvl w:val="0"/>
          <w:numId w:val="1003"/>
        </w:numPr>
      </w:pPr>
      <w:r>
        <w:t xml:space="preserve">Analytics and Reporting: Power BI, semantic models, DAX, and evidence dashboards for migration readiness</w:t>
      </w:r>
    </w:p>
    <w:p>
      <w:pPr>
        <w:pStyle w:val="Compact"/>
        <w:numPr>
          <w:ilvl w:val="0"/>
          <w:numId w:val="1003"/>
        </w:numPr>
      </w:pPr>
      <w:r>
        <w:t xml:space="preserve">Delivery Controls: runbooks, defect tracking, test evidence packs, and change/cutover governance</w:t>
      </w:r>
    </w:p>
    <w:bookmarkEnd w:id="13"/>
    <w:bookmarkStart w:id="22"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Owned mapping and validation work products for multi-source data onboarding, including testable mapping specs and controlled rule documentation.</w:t>
      </w:r>
      <w:r>
        <w:t xml:space="preserve"> </w:t>
      </w:r>
      <w:r>
        <w:t xml:space="preserve">- Profiled source systems, documented source-to-target structures, and resolved edge cases with architects and engineers before SIT entry.</w:t>
      </w:r>
      <w:r>
        <w:t xml:space="preserve"> </w:t>
      </w:r>
      <w:r>
        <w:t xml:space="preserve">- Implemented validation and reconciliation checks across ingestion and transformation stages, improving defect detection before UAT.</w:t>
      </w:r>
      <w:r>
        <w:t xml:space="preserve"> </w:t>
      </w:r>
      <w:r>
        <w:t xml:space="preserve">- Produced pre-load and post-load evidence artefacts and maintained runbook steps and readiness checkpoints for release approvals.</w:t>
      </w:r>
      <w:r>
        <w:t xml:space="preserve"> </w:t>
      </w:r>
      <w:r>
        <w:t xml:space="preserve">- Improved data quality outcomes by formalizing exception handling flows and audit-friendly evidence retention.</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Led migration planning and mapping design across Finance, Payroll, CRM, and SharePoint domains, including work to profile source data and document structures with disciplined BA documentation.</w:t>
      </w:r>
      <w:r>
        <w:t xml:space="preserve"> </w:t>
      </w:r>
      <w:r>
        <w:t xml:space="preserve">- Defined source-to-target mapping rules and transformation logic, including edge-case handling for inconsistent source data.</w:t>
      </w:r>
      <w:r>
        <w:t xml:space="preserve"> </w:t>
      </w:r>
      <w:r>
        <w:t xml:space="preserve">- Established reconciliation and validation frameworks used during SIT/UAT cycles, with direct support for defect triage and retesting.</w:t>
      </w:r>
      <w:r>
        <w:t xml:space="preserve"> </w:t>
      </w:r>
      <w:r>
        <w:t xml:space="preserve">- Built migration evidence packs covering pre-load baselines, post-load outcomes, and control sign-off to support audit expectations.</w:t>
      </w:r>
      <w:r>
        <w:t xml:space="preserve"> </w:t>
      </w:r>
      <w:r>
        <w:t xml:space="preserve">- Collaborated with product and engineering teams to prioritize fixes and keep mapping accuracy high under delivery pressure.</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Supported integration-heavy programs with SQL-based validation, test support, and controlled deployment evidence.</w:t>
      </w:r>
      <w:r>
        <w:t xml:space="preserve"> </w:t>
      </w:r>
      <w:r>
        <w:t xml:space="preserve">- Strengthened operational data quality through proactive checks and exception reporting.</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Led an 8 TB SQL Server to Azure migration with staged validation, reconciliation controls, and controlled cutover execution.</w:t>
      </w:r>
      <w:r>
        <w:t xml:space="preserve"> </w:t>
      </w:r>
      <w:r>
        <w:t xml:space="preserve">- Produced runbooks and operational evidence required for go-live approvals in a regulated environment.</w:t>
      </w:r>
      <w:r>
        <w:t xml:space="preserve"> </w:t>
      </w:r>
      <w:r>
        <w:t xml:space="preserve">- Partnered with delivery teams to triage migration defects and close data quality gaps before release.</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Built SQL-based ETL and validation processes to improve reporting reliability and data consistency.</w:t>
      </w:r>
      <w:r>
        <w:t xml:space="preserve"> </w:t>
      </w:r>
      <w:r>
        <w:t xml:space="preserve">- Supported test cycles with issue analysis and data correction scripts.</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rating, and finance migration to TechnologyOne with mapping validation, UAT support, and live cutover control.</w:t>
      </w:r>
      <w:r>
        <w:t xml:space="preserve"> </w:t>
      </w:r>
      <w:r>
        <w:t xml:space="preserve">- Coordinated migration checkpoints, defect triage, and business sign-off evidence.</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Delivered legacy system modernization and migration support with structured validation and go-live readiness activities.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Led banking platform implementations with strong focus on integration quality, testing discipline, and operational readiness.</w:t>
      </w:r>
    </w:p>
    <w:bookmarkEnd w:id="21"/>
    <w:bookmarkEnd w:id="22"/>
    <w:bookmarkStart w:id="23"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2026-03-02T12:27:51Z</dcterms:created>
  <dcterms:modified xsi:type="dcterms:W3CDTF">2026-03-02T12:27:51Z</dcterms:modified>
</cp:coreProperties>
</file>

<file path=docProps/custom.xml><?xml version="1.0" encoding="utf-8"?>
<Properties xmlns="http://schemas.openxmlformats.org/officeDocument/2006/custom-properties" xmlns:vt="http://schemas.openxmlformats.org/officeDocument/2006/docPropsVTypes"/>
</file>