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sudath-attanayake"/>
    <w:p>
      <w:pPr>
        <w:pStyle w:val="Heading1"/>
      </w:pPr>
      <w:r>
        <w:t xml:space="preserve">Sudath Attanayake</w:t>
      </w:r>
    </w:p>
    <w:p>
      <w:pPr>
        <w:pStyle w:val="FirstParagraph"/>
      </w:pPr>
      <w:r>
        <w:t xml:space="preserve">Melbourne, VIC, Australia | Available for Melbourne hybrid and onsite roles</w:t>
      </w:r>
      <w:r>
        <w:t xml:space="preserve"> </w:t>
      </w:r>
      <w:r>
        <w:t xml:space="preserve">LinkedIn: linkedin.com/in/sudath-attanayake | Email: sudatha@gmail.com | Phone: 0411040055</w:t>
      </w:r>
    </w:p>
    <w:bookmarkStart w:id="9" w:name="migration-architect-solution-designer"/>
    <w:p>
      <w:pPr>
        <w:pStyle w:val="Heading2"/>
      </w:pPr>
      <w:r>
        <w:t xml:space="preserve">Migration Architect | Solution Designer</w:t>
      </w:r>
    </w:p>
    <w:bookmarkEnd w:id="9"/>
    <w:bookmarkStart w:id="10" w:name="key-highlights"/>
    <w:p>
      <w:pPr>
        <w:pStyle w:val="Heading2"/>
      </w:pPr>
      <w:r>
        <w:t xml:space="preserve">Key Highlights</w:t>
      </w:r>
    </w:p>
    <w:p>
      <w:pPr>
        <w:pStyle w:val="Compact"/>
        <w:numPr>
          <w:ilvl w:val="0"/>
          <w:numId w:val="1001"/>
        </w:numPr>
      </w:pPr>
      <w:r>
        <w:t xml:space="preserve">15+ years delivering data, integration, and platform architecture across Australia and New Zealand.</w:t>
      </w:r>
    </w:p>
    <w:p>
      <w:pPr>
        <w:pStyle w:val="Compact"/>
        <w:numPr>
          <w:ilvl w:val="0"/>
          <w:numId w:val="1001"/>
        </w:numPr>
      </w:pPr>
      <w:r>
        <w:t xml:space="preserve">Designed migration control standards for validation, reconciliation, lineage, and exception flows to make migration waves repeatable and audit-ready.</w:t>
      </w:r>
    </w:p>
    <w:p>
      <w:pPr>
        <w:pStyle w:val="Compact"/>
        <w:numPr>
          <w:ilvl w:val="0"/>
          <w:numId w:val="1001"/>
        </w:numPr>
      </w:pPr>
      <w:r>
        <w:t xml:space="preserve">Converted architecture decisions into runbooks, stage gates, rehearsal plans, and evidence artifacts used in governance and delivery forums.</w:t>
      </w:r>
    </w:p>
    <w:p>
      <w:pPr>
        <w:pStyle w:val="Compact"/>
        <w:numPr>
          <w:ilvl w:val="0"/>
          <w:numId w:val="1001"/>
        </w:numPr>
      </w:pPr>
      <w:r>
        <w:t xml:space="preserve">Led integration and non-functional design decisions across orchestration, data pipelines, reporting, and operational controls.</w:t>
      </w:r>
    </w:p>
    <w:p>
      <w:pPr>
        <w:pStyle w:val="Compact"/>
        <w:numPr>
          <w:ilvl w:val="0"/>
          <w:numId w:val="1001"/>
        </w:numPr>
      </w:pPr>
      <w:r>
        <w:t xml:space="preserve">Built a reusable pattern library and design review practices that reduced bespoke delivery and improved predictability.</w:t>
      </w:r>
    </w:p>
    <w:p>
      <w:pPr>
        <w:pStyle w:val="Compact"/>
        <w:numPr>
          <w:ilvl w:val="0"/>
          <w:numId w:val="1001"/>
        </w:numPr>
      </w:pPr>
      <w:r>
        <w:t xml:space="preserve">Strong regulated-environment background across banking and healthcare, with practical experience aligning technology delivery with risk and compliance expectations.</w:t>
      </w:r>
    </w:p>
    <w:bookmarkEnd w:id="10"/>
    <w:bookmarkStart w:id="11" w:name="professional-summary"/>
    <w:p>
      <w:pPr>
        <w:pStyle w:val="Heading2"/>
      </w:pPr>
      <w:r>
        <w:t xml:space="preserve">Professional Summary</w:t>
      </w:r>
    </w:p>
    <w:p>
      <w:pPr>
        <w:pStyle w:val="FirstParagraph"/>
      </w:pPr>
      <w:r>
        <w:t xml:space="preserve">Migration Architect and Solution Designer with 15+ years of hands-on and strategic experience in customer migration and enterprise simplification programs. Proven track record designing safe and repeatable migration outcomes through clear standards, traceability, and control engineering practices. Experienced in translating complex architecture into executable runbooks, quality gates, reconciliation plans, and auditable evidence. Strong stakeholder partner across Risk, Legal, and Technology, with deep delivery capability in SQL Server, ETL/ELT, Azure data services, Microsoft Fabric, and Power BI, and a practical approach to building testable controls that support safe to proceed decisions.</w:t>
      </w:r>
    </w:p>
    <w:bookmarkEnd w:id="11"/>
    <w:bookmarkStart w:id="12" w:name="core-competencies"/>
    <w:p>
      <w:pPr>
        <w:pStyle w:val="Heading2"/>
      </w:pPr>
      <w:r>
        <w:t xml:space="preserve">Core Competencies</w:t>
      </w:r>
    </w:p>
    <w:p>
      <w:pPr>
        <w:pStyle w:val="Compact"/>
        <w:numPr>
          <w:ilvl w:val="0"/>
          <w:numId w:val="1002"/>
        </w:numPr>
      </w:pPr>
      <w:r>
        <w:t xml:space="preserve">Migration Architecture and Solution Design</w:t>
      </w:r>
    </w:p>
    <w:p>
      <w:pPr>
        <w:pStyle w:val="Compact"/>
        <w:numPr>
          <w:ilvl w:val="0"/>
          <w:numId w:val="1002"/>
        </w:numPr>
      </w:pPr>
      <w:r>
        <w:t xml:space="preserve">Validation, Reconciliation, and Exception Flow Design</w:t>
      </w:r>
    </w:p>
    <w:p>
      <w:pPr>
        <w:pStyle w:val="Compact"/>
        <w:numPr>
          <w:ilvl w:val="0"/>
          <w:numId w:val="1002"/>
        </w:numPr>
      </w:pPr>
      <w:r>
        <w:t xml:space="preserve">Data Lineage, Traceability, and Evidence Management</w:t>
      </w:r>
    </w:p>
    <w:p>
      <w:pPr>
        <w:pStyle w:val="Compact"/>
        <w:numPr>
          <w:ilvl w:val="0"/>
          <w:numId w:val="1002"/>
        </w:numPr>
      </w:pPr>
      <w:r>
        <w:t xml:space="preserve">Control Engineering in Regulated Environments</w:t>
      </w:r>
    </w:p>
    <w:p>
      <w:pPr>
        <w:pStyle w:val="Compact"/>
        <w:numPr>
          <w:ilvl w:val="0"/>
          <w:numId w:val="1002"/>
        </w:numPr>
      </w:pPr>
      <w:r>
        <w:t xml:space="preserve">Integration and Non-Functional Guardrails</w:t>
      </w:r>
    </w:p>
    <w:p>
      <w:pPr>
        <w:pStyle w:val="Compact"/>
        <w:numPr>
          <w:ilvl w:val="0"/>
          <w:numId w:val="1002"/>
        </w:numPr>
      </w:pPr>
      <w:r>
        <w:t xml:space="preserve">Orchestration, Data Pipeline, and Reporting Design</w:t>
      </w:r>
    </w:p>
    <w:p>
      <w:pPr>
        <w:pStyle w:val="Compact"/>
        <w:numPr>
          <w:ilvl w:val="0"/>
          <w:numId w:val="1002"/>
        </w:numPr>
      </w:pPr>
      <w:r>
        <w:t xml:space="preserve">Rollback Strategy, Dry-Run, Rehearsal, and Cutover Planning</w:t>
      </w:r>
    </w:p>
    <w:p>
      <w:pPr>
        <w:pStyle w:val="Compact"/>
        <w:numPr>
          <w:ilvl w:val="0"/>
          <w:numId w:val="1002"/>
        </w:numPr>
      </w:pPr>
      <w:r>
        <w:t xml:space="preserve">Reusable Pattern Libraries and Design Governance</w:t>
      </w:r>
    </w:p>
    <w:p>
      <w:pPr>
        <w:pStyle w:val="Compact"/>
        <w:numPr>
          <w:ilvl w:val="0"/>
          <w:numId w:val="1002"/>
        </w:numPr>
      </w:pPr>
      <w:r>
        <w:t xml:space="preserve">Runbooks, Stage Gates, and Operational Readiness</w:t>
      </w:r>
    </w:p>
    <w:p>
      <w:pPr>
        <w:pStyle w:val="Compact"/>
        <w:numPr>
          <w:ilvl w:val="0"/>
          <w:numId w:val="1002"/>
        </w:numPr>
      </w:pPr>
      <w:r>
        <w:t xml:space="preserve">Stakeholder Alignment Across Risk, Legal, and Technology</w:t>
      </w:r>
    </w:p>
    <w:bookmarkEnd w:id="12"/>
    <w:bookmarkStart w:id="13" w:name="technical-skills"/>
    <w:p>
      <w:pPr>
        <w:pStyle w:val="Heading2"/>
      </w:pPr>
      <w:r>
        <w:t xml:space="preserve">Technical Skills</w:t>
      </w:r>
    </w:p>
    <w:p>
      <w:pPr>
        <w:pStyle w:val="Compact"/>
        <w:numPr>
          <w:ilvl w:val="0"/>
          <w:numId w:val="1003"/>
        </w:numPr>
      </w:pPr>
      <w:r>
        <w:t xml:space="preserve">Data Platforms: SQL Server, Azure SQL, Azure Synapse, Microsoft Fabric</w:t>
      </w:r>
    </w:p>
    <w:p>
      <w:pPr>
        <w:pStyle w:val="Compact"/>
        <w:numPr>
          <w:ilvl w:val="0"/>
          <w:numId w:val="1003"/>
        </w:numPr>
      </w:pPr>
      <w:r>
        <w:t xml:space="preserve">Engineering: ETL/ELT, Azure Data Factory, SSIS, T-SQL, Python automation</w:t>
      </w:r>
    </w:p>
    <w:p>
      <w:pPr>
        <w:pStyle w:val="Compact"/>
        <w:numPr>
          <w:ilvl w:val="0"/>
          <w:numId w:val="1003"/>
        </w:numPr>
      </w:pPr>
      <w:r>
        <w:t xml:space="preserve">BI and Reporting: Power BI, DAX, semantic models, Power Query, dataflows</w:t>
      </w:r>
    </w:p>
    <w:p>
      <w:pPr>
        <w:pStyle w:val="Compact"/>
        <w:numPr>
          <w:ilvl w:val="0"/>
          <w:numId w:val="1003"/>
        </w:numPr>
      </w:pPr>
      <w:r>
        <w:t xml:space="preserve">Integration: REST/SOAP APIs, middleware patterns, batch and near real-time integration</w:t>
      </w:r>
    </w:p>
    <w:p>
      <w:pPr>
        <w:pStyle w:val="Compact"/>
        <w:numPr>
          <w:ilvl w:val="0"/>
          <w:numId w:val="1003"/>
        </w:numPr>
      </w:pPr>
      <w:r>
        <w:t xml:space="preserve">Governance: Data quality controls, lineage documentation, metadata and lifecycle practices</w:t>
      </w:r>
    </w:p>
    <w:bookmarkEnd w:id="13"/>
    <w:bookmarkStart w:id="20" w:name="professional-experience"/>
    <w:p>
      <w:pPr>
        <w:pStyle w:val="Heading2"/>
      </w:pPr>
      <w:r>
        <w:t xml:space="preserve">Professional Experience</w:t>
      </w:r>
    </w:p>
    <w:bookmarkStart w:id="14" w:name="attekus-melbourne-australia-hybrid"/>
    <w:p>
      <w:pPr>
        <w:pStyle w:val="Heading3"/>
      </w:pPr>
      <w:r>
        <w:t xml:space="preserve">Attekus, Melbourne, Australia (Hybrid)</w:t>
      </w:r>
    </w:p>
    <w:p>
      <w:pPr>
        <w:pStyle w:val="FirstParagraph"/>
      </w:pPr>
      <w:r>
        <w:rPr>
          <w:b/>
          <w:bCs/>
        </w:rPr>
        <w:t xml:space="preserve">Data Platform Lead | Apr 2025 - Feb 2026</w:t>
      </w:r>
      <w:r>
        <w:t xml:space="preserve"> </w:t>
      </w:r>
      <w:r>
        <w:t xml:space="preserve">- Led migration and integration architecture standards to improve repeatability, quality, and operational assurance.</w:t>
      </w:r>
      <w:r>
        <w:t xml:space="preserve"> </w:t>
      </w:r>
      <w:r>
        <w:t xml:space="preserve">- Defined validation, reconciliation, and exception-control patterns across critical data movement and reporting pipelines.</w:t>
      </w:r>
      <w:r>
        <w:t xml:space="preserve"> </w:t>
      </w:r>
      <w:r>
        <w:t xml:space="preserve">- Established traceability from design decisions to runbook activities and delivery evidence for audit and governance needs.</w:t>
      </w:r>
      <w:r>
        <w:t xml:space="preserve"> </w:t>
      </w:r>
      <w:r>
        <w:t xml:space="preserve">- Designed non-functional guardrails for performance, resilience, monitoring, and recoverability across platform components.</w:t>
      </w:r>
      <w:r>
        <w:t xml:space="preserve"> </w:t>
      </w:r>
      <w:r>
        <w:t xml:space="preserve">- Produced runbooks and rehearsal guidance to improve rollback confidence and release readiness.</w:t>
      </w:r>
    </w:p>
    <w:bookmarkEnd w:id="14"/>
    <w:bookmarkStart w:id="15" w:name="Xc5ef9dceb191335fc8ab039a61e2c9c79182478"/>
    <w:p>
      <w:pPr>
        <w:pStyle w:val="Heading3"/>
      </w:pPr>
      <w:r>
        <w:t xml:space="preserve">Abano Healthcare Group, Melbourne, Australia and New Zealand (Hybrid)</w:t>
      </w:r>
    </w:p>
    <w:p>
      <w:pPr>
        <w:pStyle w:val="FirstParagraph"/>
      </w:pPr>
      <w:r>
        <w:rPr>
          <w:b/>
          <w:bCs/>
        </w:rPr>
        <w:t xml:space="preserve">Data and Analytics Architect | Nov 2022 - Apr 2025</w:t>
      </w:r>
      <w:r>
        <w:t xml:space="preserve"> </w:t>
      </w:r>
      <w:r>
        <w:t xml:space="preserve">- Owned architecture and integration decisions across 250+ endpoints in a regulated multi-entity healthcare environment.</w:t>
      </w:r>
      <w:r>
        <w:t xml:space="preserve"> </w:t>
      </w:r>
      <w:r>
        <w:t xml:space="preserve">- Mapped current-state dependencies and designed target-state patterns that reduced bespoke interfaces and improved control coverage.</w:t>
      </w:r>
      <w:r>
        <w:t xml:space="preserve"> </w:t>
      </w:r>
      <w:r>
        <w:t xml:space="preserve">- Led migration planning from legacy warehouse platforms to Microsoft Fabric and Azure-aligned architecture.</w:t>
      </w:r>
      <w:r>
        <w:t xml:space="preserve"> </w:t>
      </w:r>
      <w:r>
        <w:t xml:space="preserve">- Implemented test and reconciliation practices that improved cutover confidence and evidence quality.</w:t>
      </w:r>
      <w:r>
        <w:t xml:space="preserve"> </w:t>
      </w:r>
      <w:r>
        <w:t xml:space="preserve">- Ran architecture and design reviews with business and technical stakeholders to align delivery sequencing, risks, and controls.</w:t>
      </w:r>
    </w:p>
    <w:bookmarkEnd w:id="15"/>
    <w:bookmarkStart w:id="16" w:name="X59d58a29d8c82f18fa6f1135fe52029de99abec"/>
    <w:p>
      <w:pPr>
        <w:pStyle w:val="Heading3"/>
      </w:pPr>
      <w:r>
        <w:t xml:space="preserve">Abano Healthcare Group, Auckland, New Zealand</w:t>
      </w:r>
    </w:p>
    <w:p>
      <w:pPr>
        <w:pStyle w:val="FirstParagraph"/>
      </w:pPr>
      <w:r>
        <w:rPr>
          <w:b/>
          <w:bCs/>
        </w:rPr>
        <w:t xml:space="preserve">Senior DBA | Sep 2021 - Nov 2022</w:t>
      </w:r>
      <w:r>
        <w:t xml:space="preserve"> </w:t>
      </w:r>
      <w:r>
        <w:t xml:space="preserve">- Improved resilience, performance, and recoverability of SQL Server platforms supporting integration-heavy workloads.</w:t>
      </w:r>
      <w:r>
        <w:t xml:space="preserve"> </w:t>
      </w:r>
      <w:r>
        <w:t xml:space="preserve">- Supported governance-driven change implementation with runbook updates and operational control checks.</w:t>
      </w:r>
    </w:p>
    <w:bookmarkEnd w:id="16"/>
    <w:bookmarkStart w:id="17" w:name="whanau-tahi-limited-auckland-new-zealand"/>
    <w:p>
      <w:pPr>
        <w:pStyle w:val="Heading3"/>
      </w:pPr>
      <w:r>
        <w:t xml:space="preserve">Whanau Tahi Limited, Auckland, New Zealand</w:t>
      </w:r>
    </w:p>
    <w:p>
      <w:pPr>
        <w:pStyle w:val="FirstParagraph"/>
      </w:pPr>
      <w:r>
        <w:rPr>
          <w:b/>
          <w:bCs/>
        </w:rPr>
        <w:t xml:space="preserve">Senior Database Administrator | Oct 2016 - Sep 2021</w:t>
      </w:r>
      <w:r>
        <w:t xml:space="preserve"> </w:t>
      </w:r>
      <w:r>
        <w:t xml:space="preserve">- Primary DBA for New Zealand national ePrescription systems in a regulated environment with strict reliability requirements.</w:t>
      </w:r>
      <w:r>
        <w:t xml:space="preserve"> </w:t>
      </w:r>
      <w:r>
        <w:t xml:space="preserve">- Led 8 TB SQL Server to Azure migration with staged dry-runs, validation checkpoints, and controlled rollback options.</w:t>
      </w:r>
      <w:r>
        <w:t xml:space="preserve"> </w:t>
      </w:r>
      <w:r>
        <w:t xml:space="preserve">- Improved auditability through stronger operational documentation, evidence capture, and support procedures.</w:t>
      </w:r>
    </w:p>
    <w:bookmarkEnd w:id="17"/>
    <w:bookmarkStart w:id="18" w:name="X597f119c46e6a7cdeaa090cbc6fb6ec6e943199"/>
    <w:p>
      <w:pPr>
        <w:pStyle w:val="Heading3"/>
      </w:pPr>
      <w:r>
        <w:t xml:space="preserve">Whangarei District Council, Whangarei, New Zealand</w:t>
      </w:r>
    </w:p>
    <w:p>
      <w:pPr>
        <w:pStyle w:val="FirstParagraph"/>
      </w:pPr>
      <w:r>
        <w:rPr>
          <w:b/>
          <w:bCs/>
        </w:rPr>
        <w:t xml:space="preserve">Senior DBA | Sep 2007 - Mar 2013</w:t>
      </w:r>
      <w:r>
        <w:t xml:space="preserve"> </w:t>
      </w:r>
      <w:r>
        <w:t xml:space="preserve">- Led Council property, rating, and finance migration to TechnologyOne with end-to-end cutover accountability.</w:t>
      </w:r>
      <w:r>
        <w:t xml:space="preserve"> </w:t>
      </w:r>
      <w:r>
        <w:t xml:space="preserve">- Managed UAT, execution runbooks, and release controls to ensure safe transition and stable operations.</w:t>
      </w:r>
    </w:p>
    <w:bookmarkEnd w:id="18"/>
    <w:bookmarkStart w:id="19" w:name="nations-trust-bank-sri-lanka"/>
    <w:p>
      <w:pPr>
        <w:pStyle w:val="Heading3"/>
      </w:pPr>
      <w:r>
        <w:t xml:space="preserve">Nations Trust Bank, Sri Lanka</w:t>
      </w:r>
    </w:p>
    <w:p>
      <w:pPr>
        <w:pStyle w:val="FirstParagraph"/>
      </w:pPr>
      <w:r>
        <w:rPr>
          <w:b/>
          <w:bCs/>
        </w:rPr>
        <w:t xml:space="preserve">Senior Manager, Information Technology | Sep 1999 - Mar 2003</w:t>
      </w:r>
      <w:r>
        <w:t xml:space="preserve"> </w:t>
      </w:r>
      <w:r>
        <w:t xml:space="preserve">- Delivered core banking and channel platform upgrades in a highly controlled financial services context.</w:t>
      </w:r>
      <w:r>
        <w:t xml:space="preserve"> </w:t>
      </w:r>
      <w:r>
        <w:t xml:space="preserve">- Coordinated technology, operations, and vendor stakeholders to execute time-critical integration and release activities.</w:t>
      </w:r>
    </w:p>
    <w:bookmarkEnd w:id="19"/>
    <w:bookmarkEnd w:id="20"/>
    <w:bookmarkStart w:id="21" w:name="education"/>
    <w:p>
      <w:pPr>
        <w:pStyle w:val="Heading2"/>
      </w:pPr>
      <w:r>
        <w:t xml:space="preserve">Education</w:t>
      </w:r>
    </w:p>
    <w:p>
      <w:pPr>
        <w:pStyle w:val="Compact"/>
        <w:numPr>
          <w:ilvl w:val="0"/>
          <w:numId w:val="1004"/>
        </w:numPr>
      </w:pPr>
      <w:r>
        <w:t xml:space="preserve">MSc in Computer Science (First Class Honors)</w:t>
      </w:r>
    </w:p>
    <w:p>
      <w:pPr>
        <w:pStyle w:val="Compact"/>
        <w:numPr>
          <w:ilvl w:val="0"/>
          <w:numId w:val="1004"/>
        </w:numPr>
      </w:pPr>
      <w:r>
        <w:t xml:space="preserve">A/L (Double Maths, Physics, Chemistry) - Ananda College</w:t>
      </w:r>
    </w:p>
    <w:bookmarkEnd w:id="21"/>
    <w:bookmarkEnd w:id="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2026-03-02T12:52:36Z</dcterms:created>
  <dcterms:modified xsi:type="dcterms:W3CDTF">2026-03-02T12:52:36Z</dcterms:modified>
</cp:coreProperties>
</file>

<file path=docProps/custom.xml><?xml version="1.0" encoding="utf-8"?>
<Properties xmlns="http://schemas.openxmlformats.org/officeDocument/2006/custom-properties" xmlns:vt="http://schemas.openxmlformats.org/officeDocument/2006/docPropsVTypes"/>
</file>