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dath-attanayake"/>
    <w:p>
      <w:pPr>
        <w:pStyle w:val="Heading1"/>
      </w:pPr>
      <w:r>
        <w:t xml:space="preserve">Sudath Attanayake</w:t>
      </w:r>
    </w:p>
    <w:p>
      <w:pPr>
        <w:pStyle w:val="FirstParagraph"/>
      </w:pPr>
      <w:r>
        <w:t xml:space="preserve">Melbourne, VIC, Australia | Available for Melbourne hybrid and onsite roles</w:t>
      </w:r>
      <w:r>
        <w:t xml:space="preserve"> </w:t>
      </w:r>
      <w:r>
        <w:t xml:space="preserve">LinkedIn: linkedin.com/in/sudath-attanayake | Email: sudatha@gmail.com | Phone: 0411040055</w:t>
      </w:r>
    </w:p>
    <w:bookmarkStart w:id="9" w:name="data-and-ai-manager"/>
    <w:p>
      <w:pPr>
        <w:pStyle w:val="Heading2"/>
      </w:pPr>
      <w:r>
        <w:t xml:space="preserve">Data and AI Manager</w:t>
      </w:r>
    </w:p>
    <w:bookmarkEnd w:id="9"/>
    <w:bookmarkStart w:id="10" w:name="key-highlights"/>
    <w:p>
      <w:pPr>
        <w:pStyle w:val="Heading2"/>
      </w:pPr>
      <w:r>
        <w:t xml:space="preserve">Key Highlights</w:t>
      </w:r>
    </w:p>
    <w:p>
      <w:pPr>
        <w:pStyle w:val="Compact"/>
        <w:numPr>
          <w:ilvl w:val="0"/>
          <w:numId w:val="1001"/>
        </w:numPr>
      </w:pPr>
      <w:r>
        <w:t xml:space="preserve">15+ years leading enterprise data programs across research, medical, healthcare, and regulated environments, combining strategic direction with hands-on delivery.</w:t>
      </w:r>
    </w:p>
    <w:p>
      <w:pPr>
        <w:pStyle w:val="Compact"/>
        <w:numPr>
          <w:ilvl w:val="0"/>
          <w:numId w:val="1001"/>
        </w:numPr>
      </w:pPr>
      <w:r>
        <w:t xml:space="preserve">Designed and implemented scalable data environments using Azure, Microsoft Fabric, and SQL Server to support business intelligence, analytics, and agentic and other forms of artificial intelligence.</w:t>
      </w:r>
    </w:p>
    <w:p>
      <w:pPr>
        <w:pStyle w:val="Compact"/>
        <w:numPr>
          <w:ilvl w:val="0"/>
          <w:numId w:val="1001"/>
        </w:numPr>
      </w:pPr>
      <w:r>
        <w:t xml:space="preserve">Established data governance frameworks covering data ownership, stewardship, data quality standards, and lifecycle management.</w:t>
      </w:r>
    </w:p>
    <w:p>
      <w:pPr>
        <w:pStyle w:val="Compact"/>
        <w:numPr>
          <w:ilvl w:val="0"/>
          <w:numId w:val="1001"/>
        </w:numPr>
      </w:pPr>
      <w:r>
        <w:t xml:space="preserve">Led cross-functional data and integration initiatives, providing strategic advice to executives and senior stakeholders on data architecture and management practices.</w:t>
      </w:r>
    </w:p>
    <w:p>
      <w:pPr>
        <w:pStyle w:val="Compact"/>
        <w:numPr>
          <w:ilvl w:val="0"/>
          <w:numId w:val="1001"/>
        </w:numPr>
      </w:pPr>
      <w:r>
        <w:t xml:space="preserve">Developed project plans for complex programs, and delivered outcomes to lead change and innovation across business and technology teams, including change management and training.</w:t>
      </w:r>
    </w:p>
    <w:p>
      <w:pPr>
        <w:pStyle w:val="Compact"/>
        <w:numPr>
          <w:ilvl w:val="0"/>
          <w:numId w:val="1001"/>
        </w:numPr>
      </w:pPr>
      <w:r>
        <w:t xml:space="preserve">Strong focus on integrity, confidentiality, and responsible use of data, with exposure to privacy, security, and compliance-aligned delivery.</w:t>
      </w:r>
    </w:p>
    <w:bookmarkEnd w:id="10"/>
    <w:bookmarkStart w:id="11" w:name="professional-summary"/>
    <w:p>
      <w:pPr>
        <w:pStyle w:val="Heading2"/>
      </w:pPr>
      <w:r>
        <w:t xml:space="preserve">Professional Summary</w:t>
      </w:r>
    </w:p>
    <w:p>
      <w:pPr>
        <w:pStyle w:val="FirstParagraph"/>
      </w:pPr>
      <w:r>
        <w:t xml:space="preserve">Strategic and hands-on data leader with 15+ years of experience designing, implementing, and scaling enterprise data and artificial intelligence capabilities. Proven record in enterprise data strategy, governance, architecture, and platform delivery across complex organisations in Australia and New Zealand. Experienced in building fit-for-purpose data environments for business intelligence and analytics, improving organisational data maturity, and enabling AI-ready foundations. Identifies and leads AI and machine learning initiatives that enhance decision-making and integrate into business workflows. Brings practical leadership across project planning, change management, and stakeholder collaboration, with strong grounding in responsible AI, ethical standards, and AI governance principles.</w:t>
      </w:r>
    </w:p>
    <w:bookmarkEnd w:id="11"/>
    <w:bookmarkStart w:id="12" w:name="core-competencies"/>
    <w:p>
      <w:pPr>
        <w:pStyle w:val="Heading2"/>
      </w:pPr>
      <w:r>
        <w:t xml:space="preserve">Core Competencies</w:t>
      </w:r>
    </w:p>
    <w:p>
      <w:pPr>
        <w:pStyle w:val="Compact"/>
        <w:numPr>
          <w:ilvl w:val="0"/>
          <w:numId w:val="1002"/>
        </w:numPr>
      </w:pPr>
      <w:r>
        <w:t xml:space="preserve">Enterprise Data Strategy and Data Maturity Uplift</w:t>
      </w:r>
    </w:p>
    <w:p>
      <w:pPr>
        <w:pStyle w:val="Compact"/>
        <w:numPr>
          <w:ilvl w:val="0"/>
          <w:numId w:val="1002"/>
        </w:numPr>
      </w:pPr>
      <w:r>
        <w:t xml:space="preserve">Data Governance Frameworks, Ownership, Quality, and Lifecycle Management</w:t>
      </w:r>
    </w:p>
    <w:p>
      <w:pPr>
        <w:pStyle w:val="Compact"/>
        <w:numPr>
          <w:ilvl w:val="0"/>
          <w:numId w:val="1002"/>
        </w:numPr>
      </w:pPr>
      <w:r>
        <w:t xml:space="preserve">Data Architecture and Scalable Data Platform Technologies Delivery</w:t>
      </w:r>
    </w:p>
    <w:p>
      <w:pPr>
        <w:pStyle w:val="Compact"/>
        <w:numPr>
          <w:ilvl w:val="0"/>
          <w:numId w:val="1002"/>
        </w:numPr>
      </w:pPr>
      <w:r>
        <w:t xml:space="preserve">Business Intelligence and Analytics Enablement</w:t>
      </w:r>
    </w:p>
    <w:p>
      <w:pPr>
        <w:pStyle w:val="Compact"/>
        <w:numPr>
          <w:ilvl w:val="0"/>
          <w:numId w:val="1002"/>
        </w:numPr>
      </w:pPr>
      <w:r>
        <w:t xml:space="preserve">AI/ML Initiative Identification and Workflow Integration</w:t>
      </w:r>
    </w:p>
    <w:p>
      <w:pPr>
        <w:pStyle w:val="Compact"/>
        <w:numPr>
          <w:ilvl w:val="0"/>
          <w:numId w:val="1002"/>
        </w:numPr>
      </w:pPr>
      <w:r>
        <w:t xml:space="preserve">Responsible AI Principles and Ethical Data Practice</w:t>
      </w:r>
    </w:p>
    <w:p>
      <w:pPr>
        <w:pStyle w:val="Compact"/>
        <w:numPr>
          <w:ilvl w:val="0"/>
          <w:numId w:val="1002"/>
        </w:numPr>
      </w:pPr>
      <w:r>
        <w:t xml:space="preserve">Data Privacy, Security, and Compliance-Aligned Delivery</w:t>
      </w:r>
    </w:p>
    <w:p>
      <w:pPr>
        <w:pStyle w:val="Compact"/>
        <w:numPr>
          <w:ilvl w:val="0"/>
          <w:numId w:val="1002"/>
        </w:numPr>
      </w:pPr>
      <w:r>
        <w:t xml:space="preserve">Project Planning, Change Management, and Training Enablement</w:t>
      </w:r>
    </w:p>
    <w:p>
      <w:pPr>
        <w:pStyle w:val="Compact"/>
        <w:numPr>
          <w:ilvl w:val="0"/>
          <w:numId w:val="1002"/>
        </w:numPr>
      </w:pPr>
      <w:r>
        <w:t xml:space="preserve">Executive and Senior Stakeholder Advisory</w:t>
      </w:r>
    </w:p>
    <w:p>
      <w:pPr>
        <w:pStyle w:val="Compact"/>
        <w:numPr>
          <w:ilvl w:val="0"/>
          <w:numId w:val="1002"/>
        </w:numPr>
      </w:pPr>
      <w:r>
        <w:t xml:space="preserve">Complex Program Delivery and Cross-Functional Leadership</w:t>
      </w:r>
    </w:p>
    <w:bookmarkEnd w:id="12"/>
    <w:bookmarkStart w:id="13" w:name="technical-skills"/>
    <w:p>
      <w:pPr>
        <w:pStyle w:val="Heading2"/>
      </w:pPr>
      <w:r>
        <w:t xml:space="preserve">Technical Skills</w:t>
      </w:r>
    </w:p>
    <w:p>
      <w:pPr>
        <w:pStyle w:val="Compact"/>
        <w:numPr>
          <w:ilvl w:val="0"/>
          <w:numId w:val="1003"/>
        </w:numPr>
      </w:pPr>
      <w:r>
        <w:t xml:space="preserve">Data Platforms: Microsoft Fabric, Azure Data Factory, Azure Synapse, Azure SQL, SQL Server</w:t>
      </w:r>
    </w:p>
    <w:p>
      <w:pPr>
        <w:pStyle w:val="Compact"/>
        <w:numPr>
          <w:ilvl w:val="0"/>
          <w:numId w:val="1003"/>
        </w:numPr>
      </w:pPr>
      <w:r>
        <w:t xml:space="preserve">Data Engineering: ETL/ELT design, orchestration, transformation, workflow optimisation</w:t>
      </w:r>
    </w:p>
    <w:p>
      <w:pPr>
        <w:pStyle w:val="Compact"/>
        <w:numPr>
          <w:ilvl w:val="0"/>
          <w:numId w:val="1003"/>
        </w:numPr>
      </w:pPr>
      <w:r>
        <w:t xml:space="preserve">Data Architecture: Medallion architecture, dimensional modelling, data integration design</w:t>
      </w:r>
    </w:p>
    <w:p>
      <w:pPr>
        <w:pStyle w:val="Compact"/>
        <w:numPr>
          <w:ilvl w:val="0"/>
          <w:numId w:val="1003"/>
        </w:numPr>
      </w:pPr>
      <w:r>
        <w:t xml:space="preserve">Analytics: Power BI, DAX, semantic models, dataflows, reporting performance tuning</w:t>
      </w:r>
    </w:p>
    <w:p>
      <w:pPr>
        <w:pStyle w:val="Compact"/>
        <w:numPr>
          <w:ilvl w:val="0"/>
          <w:numId w:val="1003"/>
        </w:numPr>
      </w:pPr>
      <w:r>
        <w:t xml:space="preserve">Integration: API integration (REST/SOAP), enterprise integration patterns, middleware-aligned design</w:t>
      </w:r>
    </w:p>
    <w:p>
      <w:pPr>
        <w:pStyle w:val="Compact"/>
        <w:numPr>
          <w:ilvl w:val="0"/>
          <w:numId w:val="1003"/>
        </w:numPr>
      </w:pPr>
      <w:r>
        <w:t xml:space="preserve">Governance: Data quality controls, metadata and lineage practices, retention and lifecycle controls</w:t>
      </w:r>
    </w:p>
    <w:p>
      <w:pPr>
        <w:pStyle w:val="Compact"/>
        <w:numPr>
          <w:ilvl w:val="0"/>
          <w:numId w:val="1003"/>
        </w:numPr>
      </w:pPr>
      <w:r>
        <w:t xml:space="preserve">Compliance Exposure: Australian Privacy Act, ISO standards (including ISO 27001), GDPR, and NIST frameworks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strategic, hands-on role across business and technology teams.</w:t>
      </w:r>
      <w:r>
        <w:t xml:space="preserve"> </w:t>
      </w:r>
      <w:r>
        <w:t xml:space="preserve">- Developed target-state data strategy and implementation roadmap aligned to organisational priorities and delivery constraints.</w:t>
      </w:r>
      <w:r>
        <w:t xml:space="preserve"> </w:t>
      </w:r>
      <w:r>
        <w:t xml:space="preserve">- Defined governance standards for data ownership, stewardship, quality controls, and lifecycle management.</w:t>
      </w:r>
      <w:r>
        <w:t xml:space="preserve"> </w:t>
      </w:r>
      <w:r>
        <w:t xml:space="preserve">- Implemented Microsoft Fabric medallion architecture to improve ingestion reliability, analytics readiness, and platform scalability.</w:t>
      </w:r>
      <w:r>
        <w:t xml:space="preserve"> </w:t>
      </w:r>
      <w:r>
        <w:t xml:space="preserve">- Improved data quality, performance, and reliability through validation controls, monitoring, alerting, and runbook-driven operations.</w:t>
      </w:r>
      <w:r>
        <w:t xml:space="preserve"> </w:t>
      </w:r>
      <w:r>
        <w:t xml:space="preserve">- Provided strategic advisory input to senior stakeholders on platform direction, governance guardrails, ethical standards, AI governance principles, and delivery sequencing.</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in a complex healthcare organisation.</w:t>
      </w:r>
      <w:r>
        <w:t xml:space="preserve"> </w:t>
      </w:r>
      <w:r>
        <w:t xml:space="preserve">- Led enterprise data modernization planning and execution across Finance, Payroll, CRM, and SharePoint domains.</w:t>
      </w:r>
      <w:r>
        <w:t xml:space="preserve"> </w:t>
      </w:r>
      <w:r>
        <w:t xml:space="preserve">- Established reusable governance and data modelling standards to improve reporting consistency and data quality outcomes.</w:t>
      </w:r>
      <w:r>
        <w:t xml:space="preserve"> </w:t>
      </w:r>
      <w:r>
        <w:t xml:space="preserve">- Guided executive and senior leaders on architecture options, risk trade-offs, and implementation priorities.</w:t>
      </w:r>
      <w:r>
        <w:t xml:space="preserve"> </w:t>
      </w:r>
      <w:r>
        <w:t xml:space="preserve">- Delivered change initiatives to lead change and innovation across multiple teams through structured project plans, stakeholder communication, and operational transition support.</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platform reliability, resilience, and performance for business-critical workloads.</w:t>
      </w:r>
      <w:r>
        <w:t xml:space="preserve"> </w:t>
      </w:r>
      <w:r>
        <w:t xml:space="preserve">- Supported integration-heavy delivery programs with strong prioritisation, issue management, and technical problem solving.</w:t>
      </w:r>
      <w:r>
        <w:t xml:space="preserve"> </w:t>
      </w:r>
      <w:r>
        <w:t xml:space="preserve">- Contributed to governance-led operational standards and service continuity practices.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large-scale SQL Server to Azure migration with staged testing, validation, and controlled cutover.</w:t>
      </w:r>
      <w:r>
        <w:t xml:space="preserve"> </w:t>
      </w:r>
      <w:r>
        <w:t xml:space="preserve">- Delivered data migration and integration workstreams with strong confidentiality and compliance awareness.</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SQL-based ETL and reporting services supporting operational and ministry-aligned outcomes.</w:t>
      </w:r>
      <w:r>
        <w:t xml:space="preserve"> </w:t>
      </w:r>
      <w:r>
        <w:t xml:space="preserve">- Improved reliability and maintainability of recurring data workflows and reporting logic.</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data migration and integration delivery for Council Property, Rating, and Finance transformation programs.</w:t>
      </w:r>
      <w:r>
        <w:t xml:space="preserve"> </w:t>
      </w:r>
      <w:r>
        <w:t xml:space="preserve">- Managed planning, UAT, and cutover activities for controlled delivery of complex changes.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into SQL Server-based platforms.</w:t>
      </w:r>
      <w:r>
        <w:t xml:space="preserve"> </w:t>
      </w:r>
      <w:r>
        <w:t xml:space="preserve">- Supported clinical data migration and application rollout activities in healthcare operations.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complex enterprise technology programs across banking platforms, integration channels, and service delivery.</w:t>
      </w:r>
      <w:r>
        <w:t xml:space="preserve"> </w:t>
      </w:r>
      <w:r>
        <w:t xml:space="preserve">- Managed vendors, stakeholder communications, and delivery governance across multiple concurrent initiatives.</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Managed software delivery lifecycles and QA governance for intelligent building solutions.</w:t>
      </w:r>
    </w:p>
    <w:bookmarkEnd w:id="22"/>
    <w:bookmarkEnd w:id="23"/>
    <w:bookmarkStart w:id="24"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2026-03-01T22:39:30Z</dcterms:created>
  <dcterms:modified xsi:type="dcterms:W3CDTF">2026-03-01T22:39:30Z</dcterms:modified>
</cp:coreProperties>
</file>

<file path=docProps/custom.xml><?xml version="1.0" encoding="utf-8"?>
<Properties xmlns="http://schemas.openxmlformats.org/officeDocument/2006/custom-properties" xmlns:vt="http://schemas.openxmlformats.org/officeDocument/2006/docPropsVTypes"/>
</file>