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br/>
      </w:r>
      <w:r>
        <w:t xml:space="preserve">Melbourne, VIC</w:t>
      </w:r>
      <w:r>
        <w:br/>
      </w:r>
      <w:r>
        <w:t xml:space="preserve">sudatha@gmail.com | 0411040055 | linkedin.com/in/sudath-attanayake</w:t>
      </w:r>
    </w:p>
    <w:p>
      <w:pPr>
        <w:pStyle w:val="BodyText"/>
      </w:pPr>
      <w:r>
        <w:t xml:space="preserve">2 March 2026</w:t>
      </w:r>
    </w:p>
    <w:p>
      <w:pPr>
        <w:pStyle w:val="BodyText"/>
      </w:pPr>
      <w:r>
        <w:t xml:space="preserve">Hiring Manager</w:t>
      </w:r>
      <w:r>
        <w:br/>
      </w:r>
      <w:r>
        <w:t xml:space="preserve">FourQuarters Recruitment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Data Migration Lead role supporting the major Workday implementation for your financial services client. I bring 15+ years of enterprise data and migration leadership experience, with a strong track record defining and executing data strategy for complex, business-critical transformations.</w:t>
      </w:r>
    </w:p>
    <w:p>
      <w:pPr>
        <w:pStyle w:val="BodyText"/>
      </w:pPr>
      <w:r>
        <w:t xml:space="preserve">In recent roles, I have led end-to-end migration programs across multi-entity environments, including data profiling, cleansing, extraction, transformation, transfer, reconciliation, and cutover. I have designed integration architecture between SaaS platforms and enterprise systems, built migration-ready data models for analytics and reporting, and partnered closely with vendors, technical teams, and business stakeholders to deliver controlled, low-risk outcomes.</w:t>
      </w:r>
    </w:p>
    <w:p>
      <w:pPr>
        <w:pStyle w:val="BodyText"/>
      </w:pPr>
      <w:r>
        <w:t xml:space="preserve">I offer strong SQL capability (SQL Server, T-SQL, SSIS, ETL/ELT) and hands-on delivery leadership across architecture and execution. I also bring prior financial services experience from senior banking technology roles, where I led enterprise integration and platform delivery under tight governance and operational expectations. My background includes Workday-focused and Workday-aligned migration initiatives, and I am confident in leading this program from strategy through execution.</w:t>
      </w:r>
    </w:p>
    <w:p>
      <w:pPr>
        <w:pStyle w:val="BodyText"/>
      </w:pPr>
      <w:r>
        <w:t xml:space="preserve">I would welcome the opportunity to discuss how I can contribute to a successful Workday migration for your client.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2026-03-02T11:46:17Z</dcterms:created>
  <dcterms:modified xsi:type="dcterms:W3CDTF">2026-03-02T11:46:17Z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