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hybrid and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X5db065ce456011e5f92827033a6e79cf22d13bb"/>
    <w:p>
      <w:pPr>
        <w:pStyle w:val="Heading2"/>
      </w:pPr>
      <w:r>
        <w:t xml:space="preserve">Data Migration Lead - Workday and Enterprise Systems</w:t>
      </w:r>
    </w:p>
    <w:bookmarkEnd w:id="9"/>
    <w:bookmarkStart w:id="10" w:name="key-highlights"/>
    <w:p>
      <w:pPr>
        <w:pStyle w:val="Heading2"/>
      </w:pPr>
      <w:r>
        <w:t xml:space="preserve">Key Highlights</w:t>
      </w:r>
    </w:p>
    <w:p>
      <w:pPr>
        <w:pStyle w:val="Compact"/>
        <w:numPr>
          <w:ilvl w:val="0"/>
          <w:numId w:val="1001"/>
        </w:numPr>
      </w:pPr>
      <w:r>
        <w:t xml:space="preserve">15+ years delivering data strategy, data architecture, and migration outcomes across enterprise environments in Australia and New Zealand.</w:t>
      </w:r>
    </w:p>
    <w:p>
      <w:pPr>
        <w:pStyle w:val="Compact"/>
        <w:numPr>
          <w:ilvl w:val="0"/>
          <w:numId w:val="1001"/>
        </w:numPr>
      </w:pPr>
      <w:r>
        <w:t xml:space="preserve">Extensive experience leading data migration projects, including HRIS, payroll, finance, and analytics platforms across multi-entity organizations.</w:t>
      </w:r>
    </w:p>
    <w:p>
      <w:pPr>
        <w:pStyle w:val="Compact"/>
        <w:numPr>
          <w:ilvl w:val="0"/>
          <w:numId w:val="1001"/>
        </w:numPr>
      </w:pPr>
      <w:r>
        <w:t xml:space="preserve">Defined and executed migration strategies covering data profiling, cleansing, extraction, transformation, transfer, reconciliation, and production cutover.</w:t>
      </w:r>
    </w:p>
    <w:p>
      <w:pPr>
        <w:pStyle w:val="Compact"/>
        <w:numPr>
          <w:ilvl w:val="0"/>
          <w:numId w:val="1001"/>
        </w:numPr>
      </w:pPr>
      <w:r>
        <w:t xml:space="preserve">Led architectural design for system integration between SaaS platforms and enterprise systems, with strong governance, lineage, and control frameworks.</w:t>
      </w:r>
    </w:p>
    <w:p>
      <w:pPr>
        <w:pStyle w:val="Compact"/>
        <w:numPr>
          <w:ilvl w:val="0"/>
          <w:numId w:val="1001"/>
        </w:numPr>
      </w:pPr>
      <w:r>
        <w:t xml:space="preserve">Built source-to-target data models and mapping rules to support Workday modules, analytics, and reporting requirements.</w:t>
      </w:r>
    </w:p>
    <w:p>
      <w:pPr>
        <w:pStyle w:val="Compact"/>
        <w:numPr>
          <w:ilvl w:val="0"/>
          <w:numId w:val="1001"/>
        </w:numPr>
      </w:pPr>
      <w:r>
        <w:t xml:space="preserve">Strong SQL capability (T-SQL, SQL Server, SSIS, ETL/ELT optimization, performance tuning, data validation, and control totals).</w:t>
      </w:r>
    </w:p>
    <w:p>
      <w:pPr>
        <w:pStyle w:val="Compact"/>
        <w:numPr>
          <w:ilvl w:val="0"/>
          <w:numId w:val="1001"/>
        </w:numPr>
      </w:pPr>
      <w:r>
        <w:t xml:space="preserve">Delivered migration and integration programs in regulated sectors, including healthcare and financial services.</w:t>
      </w:r>
    </w:p>
    <w:p>
      <w:pPr>
        <w:pStyle w:val="Compact"/>
        <w:numPr>
          <w:ilvl w:val="0"/>
          <w:numId w:val="1001"/>
        </w:numPr>
      </w:pPr>
      <w:r>
        <w:t xml:space="preserve">Financial services leadership background from senior technology delivery roles in banking, including enterprise platform and integration delivery.</w:t>
      </w:r>
    </w:p>
    <w:bookmarkEnd w:id="10"/>
    <w:bookmarkStart w:id="1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Strategic and hands-on Data Migration Lead with 15+ years of experience delivering enterprise data programs and complex cross-system migrations. Proven capability to define and lead execution of data strategy for business-critical transformations, including architectural design for data integration between HRIS platforms and enterprise systems. Experienced in designing migration-ready data models, managing data cleanse/extract/transfer cycles, and assuring analytics and reporting readiness. Deep technical strength in SQL Server, T-SQL, SSIS, ETL/ELT orchestration, and Azure/Fabric data platforms. Brings financial services domain experience and practical delivery leadership, including experience working with Workday-focused and Workday-aligned migration initiatives.</w:t>
      </w:r>
    </w:p>
    <w:bookmarkEnd w:id="11"/>
    <w:bookmarkStart w:id="12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2"/>
        </w:numPr>
      </w:pPr>
      <w:r>
        <w:t xml:space="preserve">Data Migration Strategy and Execution</w:t>
      </w:r>
    </w:p>
    <w:p>
      <w:pPr>
        <w:pStyle w:val="Compact"/>
        <w:numPr>
          <w:ilvl w:val="0"/>
          <w:numId w:val="1002"/>
        </w:numPr>
      </w:pPr>
      <w:r>
        <w:t xml:space="preserve">Workday Data Migration Planning (HCM-aligned domains)</w:t>
      </w:r>
    </w:p>
    <w:p>
      <w:pPr>
        <w:pStyle w:val="Compact"/>
        <w:numPr>
          <w:ilvl w:val="0"/>
          <w:numId w:val="1002"/>
        </w:numPr>
      </w:pPr>
      <w:r>
        <w:t xml:space="preserve">Enterprise Integration Architecture</w:t>
      </w:r>
    </w:p>
    <w:p>
      <w:pPr>
        <w:pStyle w:val="Compact"/>
        <w:numPr>
          <w:ilvl w:val="0"/>
          <w:numId w:val="1002"/>
        </w:numPr>
      </w:pPr>
      <w:r>
        <w:t xml:space="preserve">Source-to-Target Data Mapping and Transformation Rules</w:t>
      </w:r>
    </w:p>
    <w:p>
      <w:pPr>
        <w:pStyle w:val="Compact"/>
        <w:numPr>
          <w:ilvl w:val="0"/>
          <w:numId w:val="1002"/>
        </w:numPr>
      </w:pPr>
      <w:r>
        <w:t xml:space="preserve">Data Cleansing, Validation, and Quality Controls</w:t>
      </w:r>
    </w:p>
    <w:p>
      <w:pPr>
        <w:pStyle w:val="Compact"/>
        <w:numPr>
          <w:ilvl w:val="0"/>
          <w:numId w:val="1002"/>
        </w:numPr>
      </w:pPr>
      <w:r>
        <w:t xml:space="preserve">Data Extraction, Transfer, and Load Orchestration</w:t>
      </w:r>
    </w:p>
    <w:p>
      <w:pPr>
        <w:pStyle w:val="Compact"/>
        <w:numPr>
          <w:ilvl w:val="0"/>
          <w:numId w:val="1002"/>
        </w:numPr>
      </w:pPr>
      <w:r>
        <w:t xml:space="preserve">Data Models for Analytics and Reporting</w:t>
      </w:r>
    </w:p>
    <w:p>
      <w:pPr>
        <w:pStyle w:val="Compact"/>
        <w:numPr>
          <w:ilvl w:val="0"/>
          <w:numId w:val="1002"/>
        </w:numPr>
      </w:pPr>
      <w:r>
        <w:t xml:space="preserve">SQL Development and Performance Optimization</w:t>
      </w:r>
    </w:p>
    <w:p>
      <w:pPr>
        <w:pStyle w:val="Compact"/>
        <w:numPr>
          <w:ilvl w:val="0"/>
          <w:numId w:val="1002"/>
        </w:numPr>
      </w:pPr>
      <w:r>
        <w:t xml:space="preserve">Reconciliation, Control Totals, and Cutover Readiness</w:t>
      </w:r>
    </w:p>
    <w:p>
      <w:pPr>
        <w:pStyle w:val="Compact"/>
        <w:numPr>
          <w:ilvl w:val="0"/>
          <w:numId w:val="1002"/>
        </w:numPr>
      </w:pPr>
      <w:r>
        <w:t xml:space="preserve">Stakeholder, Vendor, and Delivery Team Leadership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3"/>
        </w:numPr>
      </w:pPr>
      <w:r>
        <w:t xml:space="preserve">SQL and Databases: SQL Server, T-SQL, SSIS, stored procedures, query tuning, data validation</w:t>
      </w:r>
    </w:p>
    <w:p>
      <w:pPr>
        <w:pStyle w:val="Compact"/>
        <w:numPr>
          <w:ilvl w:val="0"/>
          <w:numId w:val="1003"/>
        </w:numPr>
      </w:pPr>
      <w:r>
        <w:t xml:space="preserve">Data Engineering: ETL/ELT pipeline design, Azure Data Factory, Microsoft Fabric, Synapse</w:t>
      </w:r>
    </w:p>
    <w:p>
      <w:pPr>
        <w:pStyle w:val="Compact"/>
        <w:numPr>
          <w:ilvl w:val="0"/>
          <w:numId w:val="1003"/>
        </w:numPr>
      </w:pPr>
      <w:r>
        <w:t xml:space="preserve">Data Architecture: dimensional modeling, migration data models, medallion architecture, Delta Lake patterns</w:t>
      </w:r>
    </w:p>
    <w:p>
      <w:pPr>
        <w:pStyle w:val="Compact"/>
        <w:numPr>
          <w:ilvl w:val="0"/>
          <w:numId w:val="1003"/>
        </w:numPr>
      </w:pPr>
      <w:r>
        <w:t xml:space="preserve">Integration: REST/SOAP APIs, cross-system integration patterns, batch and near real-time feeds</w:t>
      </w:r>
    </w:p>
    <w:p>
      <w:pPr>
        <w:pStyle w:val="Compact"/>
        <w:numPr>
          <w:ilvl w:val="0"/>
          <w:numId w:val="1003"/>
        </w:numPr>
      </w:pPr>
      <w:r>
        <w:t xml:space="preserve">Analytics: Power BI semantic models, DAX, Power Query, reporting data preparation</w:t>
      </w:r>
    </w:p>
    <w:p>
      <w:pPr>
        <w:pStyle w:val="Compact"/>
        <w:numPr>
          <w:ilvl w:val="0"/>
          <w:numId w:val="1003"/>
        </w:numPr>
      </w:pPr>
      <w:r>
        <w:t xml:space="preserve">Governance: data quality standards, lineage, metadata, controls, reconciliation, runbooks</w:t>
      </w:r>
    </w:p>
    <w:p>
      <w:pPr>
        <w:pStyle w:val="Compact"/>
        <w:numPr>
          <w:ilvl w:val="0"/>
          <w:numId w:val="1003"/>
        </w:numPr>
      </w:pPr>
      <w:r>
        <w:t xml:space="preserve">Platforms: Workday-aligned data domains, Dayforce, D365 F&amp;O-aligned integrations, enterprise HRIS ecosystems</w:t>
      </w:r>
    </w:p>
    <w:bookmarkEnd w:id="13"/>
    <w:bookmarkStart w:id="22" w:name="professional-experience"/>
    <w:p>
      <w:pPr>
        <w:pStyle w:val="Heading2"/>
      </w:pPr>
      <w:r>
        <w:t xml:space="preserve">Professional Experience</w:t>
      </w:r>
    </w:p>
    <w:bookmarkStart w:id="14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enterprise data strategy and architecture across integration and analytics streams in a hands-on leadership role.</w:t>
      </w:r>
      <w:r>
        <w:t xml:space="preserve"> </w:t>
      </w:r>
      <w:r>
        <w:t xml:space="preserve">- Designed integration architecture to ensure data is integrated between Workday and various enterprise systems.</w:t>
      </w:r>
      <w:r>
        <w:t xml:space="preserve"> </w:t>
      </w:r>
      <w:r>
        <w:t xml:space="preserve">- Established SQL-driven validation, data quality controls, and monitoring standards to improve migration and reporting reliability.</w:t>
      </w:r>
      <w:r>
        <w:t xml:space="preserve"> </w:t>
      </w:r>
      <w:r>
        <w:t xml:space="preserve">- Produced architecture documentation, mapping standards, and operational runbooks to improve delivery discipline and auditability.</w:t>
      </w:r>
    </w:p>
    <w:bookmarkEnd w:id="14"/>
    <w:bookmarkStart w:id="15" w:name="Xc5ef9dceb191335fc8ab039a61e2c9c79182478"/>
    <w:p>
      <w:pPr>
        <w:pStyle w:val="Heading3"/>
      </w:pPr>
      <w:r>
        <w:t xml:space="preserve">Abano Healthcare Group, Melbourne, Australia and New Zealand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Appointed Data Migration Lead for multi-entity HRIS and payroll migration programs across Australia and New Zealand.</w:t>
      </w:r>
      <w:r>
        <w:t xml:space="preserve"> </w:t>
      </w:r>
      <w:r>
        <w:t xml:space="preserve">- Designed and implemented migration strategy, including phased extracts, transformation logic, mock loads, reconciliation, and live cutover.</w:t>
      </w:r>
      <w:r>
        <w:t xml:space="preserve"> </w:t>
      </w:r>
      <w:r>
        <w:t xml:space="preserve">- Led data cleanse, extraction, and transfer across Aurion, MYOB, Maven Dental (Aurion), PayGlobal, enableHR, and Deputy source systems.</w:t>
      </w:r>
      <w:r>
        <w:t xml:space="preserve"> </w:t>
      </w:r>
      <w:r>
        <w:t xml:space="preserve">- Created source-to-target data mapping and migration data models aligned to Workday-style HCM domains and reporting requirements.</w:t>
      </w:r>
      <w:r>
        <w:t xml:space="preserve"> </w:t>
      </w:r>
      <w:r>
        <w:t xml:space="preserve">- Coordinated integration and migration delivery with vendors, SMEs, and business leaders, ensuring clear issue triage and execution cadence.</w:t>
      </w:r>
      <w:r>
        <w:t xml:space="preserve"> </w:t>
      </w:r>
      <w:r>
        <w:t xml:space="preserve">- Applied SQL-based control checks (row counts, referential checks, control totals) to validate migration completeness and accuracy.</w:t>
      </w:r>
    </w:p>
    <w:bookmarkEnd w:id="15"/>
    <w:bookmarkStart w:id="16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Strengthened SQL Server performance and resilience for enterprise applications supporting operational and integration workloads.</w:t>
      </w:r>
      <w:r>
        <w:t xml:space="preserve"> </w:t>
      </w:r>
      <w:r>
        <w:t xml:space="preserve">- Supported implementation workstreams with data extraction support, schema analysis, and migration-readiness activities.</w:t>
      </w:r>
    </w:p>
    <w:bookmarkEnd w:id="16"/>
    <w:bookmarkStart w:id="17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Led major SQL Server to Azure migration with staged extraction, transformation, transfer, validation, and controlled production cutover.</w:t>
      </w:r>
      <w:r>
        <w:t xml:space="preserve"> </w:t>
      </w:r>
      <w:r>
        <w:t xml:space="preserve">- Delivered data migration and integration streams for enterprise implementations in regulated environments.</w:t>
      </w:r>
    </w:p>
    <w:bookmarkEnd w:id="17"/>
    <w:bookmarkStart w:id="18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Led finance and property platform migration to TechnologyOne with end-to-end data mapping, cleansing, ETL, and reconciliation.</w:t>
      </w:r>
      <w:r>
        <w:t xml:space="preserve"> </w:t>
      </w:r>
      <w:r>
        <w:t xml:space="preserve">- Built a repeatable SSIS migration framework that improved defect visibility, reload efficiency, and go-live confidence.</w:t>
      </w:r>
    </w:p>
    <w:bookmarkEnd w:id="18"/>
    <w:bookmarkStart w:id="19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Modernized legacy systems to SQL Server platforms and supported data migration activities for clinical and corporate applications.</w:t>
      </w:r>
    </w:p>
    <w:bookmarkEnd w:id="19"/>
    <w:bookmarkStart w:id="20" w:name="nations-trust-bank-sri-lanka"/>
    <w:p>
      <w:pPr>
        <w:pStyle w:val="Heading3"/>
      </w:pPr>
      <w:r>
        <w:t xml:space="preserve">Nations Trust Bank, Sri Lanka</w:t>
      </w:r>
    </w:p>
    <w:p>
      <w:pPr>
        <w:pStyle w:val="FirstParagraph"/>
      </w:pPr>
      <w:r>
        <w:rPr>
          <w:b/>
          <w:bCs/>
        </w:rPr>
        <w:t xml:space="preserve">Senior Manager, Information Technology | Sep 1999 - Mar 2003</w:t>
      </w:r>
      <w:r>
        <w:t xml:space="preserve"> </w:t>
      </w:r>
      <w:r>
        <w:t xml:space="preserve">- Led delivery of core banking and channel technology programs on time and within budget.</w:t>
      </w:r>
      <w:r>
        <w:t xml:space="preserve"> </w:t>
      </w:r>
      <w:r>
        <w:t xml:space="preserve">- Directed enterprise integration initiatives across ATM, internet banking, and payment gateway platforms.</w:t>
      </w:r>
      <w:r>
        <w:t xml:space="preserve"> </w:t>
      </w:r>
      <w:r>
        <w:t xml:space="preserve">- Provided financial services domain leadership, vendor governance, and executive reporting for mission-critical programs.</w:t>
      </w:r>
    </w:p>
    <w:bookmarkEnd w:id="20"/>
    <w:bookmarkStart w:id="21" w:name="eutech-cybernetic"/>
    <w:p>
      <w:pPr>
        <w:pStyle w:val="Heading3"/>
      </w:pPr>
      <w:r>
        <w:t xml:space="preserve">Eutech Cybernetic</w:t>
      </w:r>
    </w:p>
    <w:p>
      <w:pPr>
        <w:pStyle w:val="FirstParagraph"/>
      </w:pPr>
      <w:r>
        <w:rPr>
          <w:b/>
          <w:bCs/>
        </w:rPr>
        <w:t xml:space="preserve">OEM Manager | Feb 1998 - Sep 1999</w:t>
      </w:r>
      <w:r>
        <w:t xml:space="preserve"> </w:t>
      </w:r>
      <w:r>
        <w:t xml:space="preserve">- Managed software delivery and technical team leadership in a structured SDLC and QA environment.</w:t>
      </w:r>
    </w:p>
    <w:bookmarkEnd w:id="21"/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4"/>
        </w:numPr>
      </w:pPr>
      <w:r>
        <w:t xml:space="preserve">A/L (Double Maths, Physics, Chemistry) - Ananda College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2026-03-02T11:46:17Z</dcterms:created>
  <dcterms:modified xsi:type="dcterms:W3CDTF">2026-03-02T11:46:17Z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