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5 days onsite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X4f7eae55c08ac9c52673186ee177d419b00f945"/>
    <w:p>
      <w:pPr>
        <w:pStyle w:val="Heading2"/>
      </w:pPr>
      <w:r>
        <w:t xml:space="preserve">Data and Analytics Lead | Azure | Databricks | Python | SQL | Automated Decisioning</w: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Hands-on data and analytics leader with 15+ years of experience designing, building, and operating enterprise data platforms in regulated, high-accountability environments. Strong blend of strategic leadership and technical execution across Azure data services, Databricks and Spark engineering, Python/SQL pipeline development, and analytics delivery. Proven track record leading risk-aware platform change, release governance, data quality uplift, and stakeholder enablement. Player-coach profile with the ability to own end-to-end capability today and grow a high-performing small team over time.</w:t>
      </w:r>
    </w:p>
    <w:bookmarkEnd w:id="10"/>
    <w:bookmarkStart w:id="11" w:name="target-role-alignment-banjo"/>
    <w:p>
      <w:pPr>
        <w:pStyle w:val="Heading2"/>
      </w:pPr>
      <w:r>
        <w:t xml:space="preserve">Target Role Alignment (Banjo)</w:t>
      </w:r>
    </w:p>
    <w:p>
      <w:pPr>
        <w:pStyle w:val="Compact"/>
        <w:numPr>
          <w:ilvl w:val="0"/>
          <w:numId w:val="1001"/>
        </w:numPr>
      </w:pPr>
      <w:r>
        <w:t xml:space="preserve">Ready to own automated credit assessment and credit decisioning capability on Azure/Databricks, including decisioning logic, scoring model usage, and serviceability modelling frameworks.</w:t>
      </w:r>
    </w:p>
    <w:p>
      <w:pPr>
        <w:pStyle w:val="Compact"/>
        <w:numPr>
          <w:ilvl w:val="0"/>
          <w:numId w:val="1001"/>
        </w:numPr>
      </w:pPr>
      <w:r>
        <w:t xml:space="preserve">Ready to define and maintain risk thresholds, automation boundaries, and override governance frameworks that balance growth, risk, and operational efficiency, and align with credit policy, risk appetite, and regulatory expectations.</w:t>
      </w:r>
    </w:p>
    <w:p>
      <w:pPr>
        <w:pStyle w:val="Compact"/>
        <w:numPr>
          <w:ilvl w:val="0"/>
          <w:numId w:val="1001"/>
        </w:numPr>
      </w:pPr>
      <w:r>
        <w:t xml:space="preserve">Experienced in building production-grade Python and SQL data pipelines, with CI/CD, Git-based version control, release management, and observability practices.</w:t>
      </w:r>
    </w:p>
    <w:p>
      <w:pPr>
        <w:pStyle w:val="Compact"/>
        <w:numPr>
          <w:ilvl w:val="0"/>
          <w:numId w:val="1001"/>
        </w:numPr>
      </w:pPr>
      <w:r>
        <w:t xml:space="preserve">Experienced in designing scalable data platforms and data warehouses to support a centralised reporting and analytics model.</w:t>
      </w:r>
    </w:p>
    <w:p>
      <w:pPr>
        <w:pStyle w:val="Compact"/>
        <w:numPr>
          <w:ilvl w:val="0"/>
          <w:numId w:val="1001"/>
        </w:numPr>
      </w:pPr>
      <w:r>
        <w:t xml:space="preserve">Experienced in establishing trusted semantic models, self-service dashboards, and single source of truth reporting for Sales, Finance, Marketing, Credit, and Operations stakeholders.</w:t>
      </w:r>
    </w:p>
    <w:p>
      <w:pPr>
        <w:pStyle w:val="Compact"/>
        <w:numPr>
          <w:ilvl w:val="0"/>
          <w:numId w:val="1001"/>
        </w:numPr>
      </w:pPr>
      <w:r>
        <w:t xml:space="preserve">Comfortable partnering with senior stakeholders, including executive reporting contexts, to translate complex data outcomes into plain-language decisions.</w:t>
      </w:r>
    </w:p>
    <w:p>
      <w:pPr>
        <w:pStyle w:val="Compact"/>
        <w:numPr>
          <w:ilvl w:val="0"/>
          <w:numId w:val="1001"/>
        </w:numPr>
      </w:pPr>
      <w:r>
        <w:t xml:space="preserve">Ready to lead development and monitoring of predictive models, including scorecards, behavioural and propensity models, within a pragmatic delivery model.</w:t>
      </w:r>
      <w:r>
        <w:t xml:space="preserve">- Strong collaboration style across Technology, Product, Finance, Risk, and operational teams in fast-paced delivery environments.</w:t>
      </w:r>
    </w:p>
    <w:bookmarkEnd w:id="11"/>
    <w:bookmarkStart w:id="12" w:name="core-capabilities"/>
    <w:p>
      <w:pPr>
        <w:pStyle w:val="Heading2"/>
      </w:pPr>
      <w:r>
        <w:t xml:space="preserve">Core Capabilities</w:t>
      </w:r>
    </w:p>
    <w:p>
      <w:pPr>
        <w:pStyle w:val="Compact"/>
        <w:numPr>
          <w:ilvl w:val="0"/>
          <w:numId w:val="1002"/>
        </w:numPr>
      </w:pPr>
      <w:r>
        <w:t xml:space="preserve">Automated decisioning architecture and risk-governed platform delivery</w:t>
      </w:r>
    </w:p>
    <w:p>
      <w:pPr>
        <w:pStyle w:val="Compact"/>
        <w:numPr>
          <w:ilvl w:val="0"/>
          <w:numId w:val="1002"/>
        </w:numPr>
      </w:pPr>
      <w:r>
        <w:t xml:space="preserve">Data platform engineering, warehouse design, and production operations</w:t>
      </w:r>
    </w:p>
    <w:p>
      <w:pPr>
        <w:pStyle w:val="Compact"/>
        <w:numPr>
          <w:ilvl w:val="0"/>
          <w:numId w:val="1002"/>
        </w:numPr>
      </w:pPr>
      <w:r>
        <w:t xml:space="preserve">Python, SQL, PySpark, Spark SQL, and distributed data processing patterns</w:t>
      </w:r>
    </w:p>
    <w:p>
      <w:pPr>
        <w:pStyle w:val="Compact"/>
        <w:numPr>
          <w:ilvl w:val="0"/>
          <w:numId w:val="1002"/>
        </w:numPr>
      </w:pPr>
      <w:r>
        <w:t xml:space="preserve">Predictive analytics enablement, feature engineering, and model deployment support</w:t>
      </w:r>
    </w:p>
    <w:p>
      <w:pPr>
        <w:pStyle w:val="Compact"/>
        <w:numPr>
          <w:ilvl w:val="0"/>
          <w:numId w:val="1002"/>
        </w:numPr>
      </w:pPr>
      <w:r>
        <w:t xml:space="preserve">Data quality frameworks, monitoring, observability, and incident response</w:t>
      </w:r>
    </w:p>
    <w:p>
      <w:pPr>
        <w:pStyle w:val="Compact"/>
        <w:numPr>
          <w:ilvl w:val="0"/>
          <w:numId w:val="1002"/>
        </w:numPr>
      </w:pPr>
      <w:r>
        <w:t xml:space="preserve">Access control, data security, privacy, and governance-by-design</w:t>
      </w:r>
    </w:p>
    <w:p>
      <w:pPr>
        <w:pStyle w:val="Compact"/>
        <w:numPr>
          <w:ilvl w:val="0"/>
          <w:numId w:val="1002"/>
        </w:numPr>
      </w:pPr>
      <w:r>
        <w:t xml:space="preserve">CI/CD pipelines, Git workflows, change control, and release management</w:t>
      </w:r>
    </w:p>
    <w:p>
      <w:pPr>
        <w:pStyle w:val="Compact"/>
        <w:numPr>
          <w:ilvl w:val="0"/>
          <w:numId w:val="1002"/>
        </w:numPr>
      </w:pPr>
      <w:r>
        <w:t xml:space="preserve">Stakeholder management, analytics translation, and adoption enablement</w:t>
      </w:r>
    </w:p>
    <w:p>
      <w:pPr>
        <w:pStyle w:val="Compact"/>
        <w:numPr>
          <w:ilvl w:val="0"/>
          <w:numId w:val="1002"/>
        </w:numPr>
      </w:pPr>
      <w:r>
        <w:t xml:space="preserve">Team leadership, mentoring, and capability uplift in high-growth environments</w: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3"/>
        </w:numPr>
      </w:pPr>
      <w:r>
        <w:t xml:space="preserve">Languages and Compute: Python, SQL, T-SQL, PySpark, Spark SQL</w:t>
      </w:r>
    </w:p>
    <w:p>
      <w:pPr>
        <w:pStyle w:val="Compact"/>
        <w:numPr>
          <w:ilvl w:val="0"/>
          <w:numId w:val="1003"/>
        </w:numPr>
      </w:pPr>
      <w:r>
        <w:t xml:space="preserve">Data Platforms: Azure, Databricks, Microsoft Fabric, Azure SQL, SQL Server, Azure Data Factory, Event Hub</w:t>
      </w:r>
    </w:p>
    <w:p>
      <w:pPr>
        <w:pStyle w:val="Compact"/>
        <w:numPr>
          <w:ilvl w:val="0"/>
          <w:numId w:val="1003"/>
        </w:numPr>
      </w:pPr>
      <w:r>
        <w:t xml:space="preserve">Data Engineering: ETL/ELT, batch and near real-time pipelines, CDC, API integration, feature pipeline design</w:t>
      </w:r>
    </w:p>
    <w:p>
      <w:pPr>
        <w:pStyle w:val="Compact"/>
        <w:numPr>
          <w:ilvl w:val="0"/>
          <w:numId w:val="1003"/>
        </w:numPr>
      </w:pPr>
      <w:r>
        <w:t xml:space="preserve">Data Warehouse and Modelling: enterprise data modelling, dimensional modelling, semantic model design</w:t>
      </w:r>
    </w:p>
    <w:p>
      <w:pPr>
        <w:pStyle w:val="Compact"/>
        <w:numPr>
          <w:ilvl w:val="0"/>
          <w:numId w:val="1003"/>
        </w:numPr>
      </w:pPr>
      <w:r>
        <w:t xml:space="preserve">MLOps and Model Lifecycle: experiment tracking, model registry, model performance monitoring, governance controls</w:t>
      </w:r>
    </w:p>
    <w:p>
      <w:pPr>
        <w:pStyle w:val="Compact"/>
        <w:numPr>
          <w:ilvl w:val="0"/>
          <w:numId w:val="1003"/>
        </w:numPr>
      </w:pPr>
      <w:r>
        <w:t xml:space="preserve">BI and Reporting: Power BI, self-service analytics models, executive and board reporting support</w:t>
      </w:r>
    </w:p>
    <w:p>
      <w:pPr>
        <w:pStyle w:val="Compact"/>
        <w:numPr>
          <w:ilvl w:val="0"/>
          <w:numId w:val="1003"/>
        </w:numPr>
      </w:pPr>
      <w:r>
        <w:t xml:space="preserve">Governance and Security: data quality controls, metadata and lineage, RBAC, privacy and compliance controls</w:t>
      </w:r>
    </w:p>
    <w:p>
      <w:pPr>
        <w:pStyle w:val="Compact"/>
        <w:numPr>
          <w:ilvl w:val="0"/>
          <w:numId w:val="1003"/>
        </w:numPr>
      </w:pPr>
      <w:r>
        <w:t xml:space="preserve">Delivery Tooling: Azure DevOps, GitHub, CI/CD, release governance, root cause analysis, performance tuning</w:t>
      </w:r>
    </w:p>
    <w:bookmarkEnd w:id="13"/>
    <w:bookmarkStart w:id="21" w:name="professional-experience"/>
    <w:p>
      <w:pPr>
        <w:pStyle w:val="Heading2"/>
      </w:pPr>
      <w:r>
        <w:t xml:space="preserve">Professional Experience</w:t>
      </w:r>
    </w:p>
    <w:bookmarkStart w:id="14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</w:p>
    <w:p>
      <w:pPr>
        <w:pStyle w:val="Compact"/>
        <w:numPr>
          <w:ilvl w:val="0"/>
          <w:numId w:val="1004"/>
        </w:numPr>
      </w:pPr>
      <w:r>
        <w:t xml:space="preserve">Led end-to-end data platform delivery with hands-on ownership of architecture, engineering, deployment, and production reliability.</w:t>
      </w:r>
    </w:p>
    <w:p>
      <w:pPr>
        <w:pStyle w:val="Compact"/>
        <w:numPr>
          <w:ilvl w:val="0"/>
          <w:numId w:val="1004"/>
        </w:numPr>
      </w:pPr>
      <w:r>
        <w:t xml:space="preserve">Built and improved Python/SQL data pipelines and Azure-based integration workflows to support scalable analytics outcomes.</w:t>
      </w:r>
    </w:p>
    <w:p>
      <w:pPr>
        <w:pStyle w:val="Compact"/>
        <w:numPr>
          <w:ilvl w:val="0"/>
          <w:numId w:val="1004"/>
        </w:numPr>
      </w:pPr>
      <w:r>
        <w:t xml:space="preserve">Applied structured release management, risk management, and change control to improve delivery quality and operational stability.</w:t>
      </w:r>
    </w:p>
    <w:p>
      <w:pPr>
        <w:pStyle w:val="Compact"/>
        <w:numPr>
          <w:ilvl w:val="0"/>
          <w:numId w:val="1004"/>
        </w:numPr>
      </w:pPr>
      <w:r>
        <w:t xml:space="preserve">Executed roadmap initiatives across Microsoft Fabric, Power Platform, and Azure SQL aligned to business priorities.</w:t>
      </w:r>
    </w:p>
    <w:p>
      <w:pPr>
        <w:pStyle w:val="Compact"/>
        <w:numPr>
          <w:ilvl w:val="0"/>
          <w:numId w:val="1004"/>
        </w:numPr>
      </w:pPr>
      <w:r>
        <w:t xml:space="preserve">Led stakeholder management across technology, business, and vendor groups to align technical delivery to commercial outcomes.</w:t>
      </w:r>
    </w:p>
    <w:bookmarkEnd w:id="14"/>
    <w:bookmarkStart w:id="15" w:name="Xa3e23a787797b26d408ded3d00c3d6bada92111"/>
    <w:p>
      <w:pPr>
        <w:pStyle w:val="Heading3"/>
      </w:pPr>
      <w:r>
        <w:t xml:space="preserve">Abano Healthcare Group, Melbourne, Australia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</w:p>
    <w:p>
      <w:pPr>
        <w:pStyle w:val="Compact"/>
        <w:numPr>
          <w:ilvl w:val="0"/>
          <w:numId w:val="1005"/>
        </w:numPr>
      </w:pPr>
      <w:r>
        <w:t xml:space="preserve">Architecture owner for enterprise analytics capability spanning 250+ data endpoints across finance, payroll, and clinical-adjacent domains.</w:t>
      </w:r>
    </w:p>
    <w:p>
      <w:pPr>
        <w:pStyle w:val="Compact"/>
        <w:numPr>
          <w:ilvl w:val="0"/>
          <w:numId w:val="1005"/>
        </w:numPr>
      </w:pPr>
      <w:r>
        <w:t xml:space="preserve">Designed scalable data platform and warehouse patterns for trusted reporting, analytics consistency, and long-term maintainability.</w:t>
      </w:r>
    </w:p>
    <w:p>
      <w:pPr>
        <w:pStyle w:val="Compact"/>
        <w:numPr>
          <w:ilvl w:val="0"/>
          <w:numId w:val="1005"/>
        </w:numPr>
      </w:pPr>
      <w:r>
        <w:t xml:space="preserve">Worked in the Dynamics 365 CE (CRM) integration space and related enterprise data flows to align source systems with analytics outputs.</w:t>
      </w:r>
    </w:p>
    <w:p>
      <w:pPr>
        <w:pStyle w:val="Compact"/>
        <w:numPr>
          <w:ilvl w:val="0"/>
          <w:numId w:val="1005"/>
        </w:numPr>
      </w:pPr>
      <w:r>
        <w:t xml:space="preserve">Delivered Microsoft Fabric, Power Platform, and Power BI aligned solutions including semantic models and data quality controls.</w:t>
      </w:r>
    </w:p>
    <w:p>
      <w:pPr>
        <w:pStyle w:val="Compact"/>
        <w:numPr>
          <w:ilvl w:val="0"/>
          <w:numId w:val="1005"/>
        </w:numPr>
      </w:pPr>
      <w:r>
        <w:t xml:space="preserve">Led governance, release management, risk management, and stakeholder management across business and technology teams.</w:t>
      </w:r>
    </w:p>
    <w:bookmarkEnd w:id="15"/>
    <w:bookmarkStart w:id="16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</w:p>
    <w:p>
      <w:pPr>
        <w:pStyle w:val="Compact"/>
        <w:numPr>
          <w:ilvl w:val="0"/>
          <w:numId w:val="1006"/>
        </w:numPr>
      </w:pPr>
      <w:r>
        <w:t xml:space="preserve">Stabilised enterprise data services across Australia and New Zealand with strong focus on resilience, performance, and supportability.</w:t>
      </w:r>
    </w:p>
    <w:p>
      <w:pPr>
        <w:pStyle w:val="Compact"/>
        <w:numPr>
          <w:ilvl w:val="0"/>
          <w:numId w:val="1006"/>
        </w:numPr>
      </w:pPr>
      <w:r>
        <w:t xml:space="preserve">Delivered Dynamics 365 Finance and Operations (FinOps) and HR integration enhancements supporting enterprise reporting capability.</w:t>
      </w:r>
    </w:p>
    <w:p>
      <w:pPr>
        <w:pStyle w:val="Compact"/>
        <w:numPr>
          <w:ilvl w:val="0"/>
          <w:numId w:val="1006"/>
        </w:numPr>
      </w:pPr>
      <w:r>
        <w:t xml:space="preserve">Provided technical leadership for production incidents, reliability uplift, and service continuity planning.</w:t>
      </w:r>
    </w:p>
    <w:bookmarkEnd w:id="16"/>
    <w:bookmarkStart w:id="17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</w:p>
    <w:p>
      <w:pPr>
        <w:pStyle w:val="Compact"/>
        <w:numPr>
          <w:ilvl w:val="0"/>
          <w:numId w:val="1007"/>
        </w:numPr>
      </w:pPr>
      <w:r>
        <w:t xml:space="preserve">Primary DBA for New Zealand’s national e-Prescription platform in a mission-critical healthcare environment.</w:t>
      </w:r>
    </w:p>
    <w:p>
      <w:pPr>
        <w:pStyle w:val="Compact"/>
        <w:numPr>
          <w:ilvl w:val="0"/>
          <w:numId w:val="1007"/>
        </w:numPr>
      </w:pPr>
      <w:r>
        <w:t xml:space="preserve">Led 8 TB SQL Server to Azure migration with controlled cutover, structured release management, and clear risk governance.</w:t>
      </w:r>
    </w:p>
    <w:p>
      <w:pPr>
        <w:pStyle w:val="Compact"/>
        <w:numPr>
          <w:ilvl w:val="0"/>
          <w:numId w:val="1007"/>
        </w:numPr>
      </w:pPr>
      <w:r>
        <w:t xml:space="preserve">Improved platform performance, security, scalability, and compliance through ongoing tuning and hardening.</w:t>
      </w:r>
    </w:p>
    <w:p>
      <w:pPr>
        <w:pStyle w:val="Compact"/>
        <w:numPr>
          <w:ilvl w:val="0"/>
          <w:numId w:val="1007"/>
        </w:numPr>
      </w:pPr>
      <w:r>
        <w:t xml:space="preserve">Drove stakeholder management across product, operations, and clinical partners to support service continuity.</w:t>
      </w:r>
    </w:p>
    <w:bookmarkEnd w:id="17"/>
    <w:bookmarkStart w:id="18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</w:p>
    <w:p>
      <w:pPr>
        <w:pStyle w:val="Compact"/>
        <w:numPr>
          <w:ilvl w:val="0"/>
          <w:numId w:val="1008"/>
        </w:numPr>
      </w:pPr>
      <w:r>
        <w:t xml:space="preserve">Delivered real-time and batch integration data services, including HL7 data pipelines and operational reporting extracts.</w:t>
      </w:r>
    </w:p>
    <w:p>
      <w:pPr>
        <w:pStyle w:val="Compact"/>
        <w:numPr>
          <w:ilvl w:val="0"/>
          <w:numId w:val="1008"/>
        </w:numPr>
      </w:pPr>
      <w:r>
        <w:t xml:space="preserve">Built reliable data processing and reporting workflows to support decision-making and Ministry obligations.</w:t>
      </w:r>
    </w:p>
    <w:bookmarkEnd w:id="18"/>
    <w:bookmarkStart w:id="19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</w:p>
    <w:p>
      <w:pPr>
        <w:pStyle w:val="Compact"/>
        <w:numPr>
          <w:ilvl w:val="0"/>
          <w:numId w:val="1009"/>
        </w:numPr>
      </w:pPr>
      <w:r>
        <w:t xml:space="preserve">Delivered enterprise data migration and system integration activities for TechnologyOne transformation programs.</w:t>
      </w:r>
    </w:p>
    <w:p>
      <w:pPr>
        <w:pStyle w:val="Compact"/>
        <w:numPr>
          <w:ilvl w:val="0"/>
          <w:numId w:val="1009"/>
        </w:numPr>
      </w:pPr>
      <w:r>
        <w:t xml:space="preserve">Led UAT, release governance, and cutover planning across multiple business systems.</w:t>
      </w:r>
    </w:p>
    <w:bookmarkEnd w:id="19"/>
    <w:bookmarkStart w:id="20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</w:p>
    <w:p>
      <w:pPr>
        <w:pStyle w:val="Compact"/>
        <w:numPr>
          <w:ilvl w:val="0"/>
          <w:numId w:val="1010"/>
        </w:numPr>
      </w:pPr>
      <w:r>
        <w:t xml:space="preserve">Modernised legacy Microsoft Access data systems to SQL Server and .NET aligned platforms.</w:t>
      </w:r>
    </w:p>
    <w:p>
      <w:pPr>
        <w:pStyle w:val="Compact"/>
        <w:numPr>
          <w:ilvl w:val="0"/>
          <w:numId w:val="1010"/>
        </w:numPr>
      </w:pPr>
      <w:r>
        <w:t xml:space="preserve">Supported clinical data migration and go-live activities in regulated operational environments.</w:t>
      </w:r>
    </w:p>
    <w:bookmarkEnd w:id="20"/>
    <w:bookmarkEnd w:id="21"/>
    <w:bookmarkStart w:id="22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11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11"/>
        </w:numPr>
      </w:pPr>
      <w:r>
        <w:t xml:space="preserve">A/L (Double Maths, Physics, Chemistry) - Ananda College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2026-02-24T09:36:47Z</dcterms:created>
  <dcterms:modified xsi:type="dcterms:W3CDTF">2026-02-24T09:36:47Z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