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udath-attanayake"/>
    <w:p>
      <w:pPr>
        <w:pStyle w:val="Heading1"/>
      </w:pPr>
      <w:r>
        <w:t xml:space="preserve">Sudath Attanayake</w:t>
      </w:r>
    </w:p>
    <w:p>
      <w:pPr>
        <w:pStyle w:val="FirstParagraph"/>
      </w:pPr>
      <w:r>
        <w:t xml:space="preserve">Melbourne, VIC, Australia | Available for 5 days onsite roles</w:t>
      </w:r>
      <w:r>
        <w:t xml:space="preserve"> </w:t>
      </w:r>
      <w:r>
        <w:t xml:space="preserve">LinkedIn: linkedin.com/in/sudath-attanayake | Email: sudatha@gmail.com | Phone: 0411040055</w:t>
      </w:r>
    </w:p>
    <w:bookmarkStart w:id="9" w:name="target-role"/>
    <w:p>
      <w:pPr>
        <w:pStyle w:val="Heading2"/>
      </w:pPr>
      <w:r>
        <w:t xml:space="preserve">Target Role</w:t>
      </w:r>
    </w:p>
    <w:p>
      <w:pPr>
        <w:pStyle w:val="FirstParagraph"/>
      </w:pPr>
      <w:r>
        <w:t xml:space="preserve">Data Architect - Melbourne (Long-Term Contract)</w:t>
      </w:r>
    </w:p>
    <w:bookmarkEnd w:id="9"/>
    <w:bookmarkStart w:id="10" w:name="professional-summary"/>
    <w:p>
      <w:pPr>
        <w:pStyle w:val="Heading2"/>
      </w:pPr>
      <w:r>
        <w:t xml:space="preserve">Professional Summary</w:t>
      </w:r>
    </w:p>
    <w:p>
      <w:pPr>
        <w:pStyle w:val="FirstParagraph"/>
      </w:pPr>
      <w:r>
        <w:t xml:space="preserve">Data Architect and Data &amp; Integration leader with 15+ years of experience delivering enterprise data architecture, governance frameworks, and platform modernisation across Australia and New Zealand. Strong capability in defining and maintaining enterprise data architecture standards, leading architecture functions, and producing high-quality documentation. Proven success in enterprise environments translating business and technical requirements into scalable, governed architecture outcomes. Strong stakeholder management skills with hands-on delivery across data modelling, data warehousing, and integration.</w:t>
      </w:r>
    </w:p>
    <w:bookmarkEnd w:id="10"/>
    <w:bookmarkStart w:id="11" w:name="core-competencies"/>
    <w:p>
      <w:pPr>
        <w:pStyle w:val="Heading2"/>
      </w:pPr>
      <w:r>
        <w:t xml:space="preserve">Core Competencies</w:t>
      </w:r>
    </w:p>
    <w:p>
      <w:pPr>
        <w:pStyle w:val="Compact"/>
        <w:numPr>
          <w:ilvl w:val="0"/>
          <w:numId w:val="1001"/>
        </w:numPr>
      </w:pPr>
      <w:r>
        <w:t xml:space="preserve">Core Data Architecture leadership in enterprise environments</w:t>
      </w:r>
    </w:p>
    <w:p>
      <w:pPr>
        <w:pStyle w:val="Compact"/>
        <w:numPr>
          <w:ilvl w:val="0"/>
          <w:numId w:val="1001"/>
        </w:numPr>
      </w:pPr>
      <w:r>
        <w:t xml:space="preserve">Define and maintain enterprise data architecture frameworks</w:t>
      </w:r>
    </w:p>
    <w:p>
      <w:pPr>
        <w:pStyle w:val="Compact"/>
        <w:numPr>
          <w:ilvl w:val="0"/>
          <w:numId w:val="1001"/>
        </w:numPr>
      </w:pPr>
      <w:r>
        <w:t xml:space="preserve">Architecture governance, documentation standards, and assurance</w:t>
      </w:r>
    </w:p>
    <w:p>
      <w:pPr>
        <w:pStyle w:val="Compact"/>
        <w:numPr>
          <w:ilvl w:val="0"/>
          <w:numId w:val="1001"/>
        </w:numPr>
      </w:pPr>
      <w:r>
        <w:t xml:space="preserve">Conceptual, logical, and physical data modelling</w:t>
      </w:r>
    </w:p>
    <w:p>
      <w:pPr>
        <w:pStyle w:val="Compact"/>
        <w:numPr>
          <w:ilvl w:val="0"/>
          <w:numId w:val="1001"/>
        </w:numPr>
      </w:pPr>
      <w:r>
        <w:t xml:space="preserve">Enterprise data warehouse and lakehouse architecture</w:t>
      </w:r>
    </w:p>
    <w:p>
      <w:pPr>
        <w:pStyle w:val="Compact"/>
        <w:numPr>
          <w:ilvl w:val="0"/>
          <w:numId w:val="1001"/>
        </w:numPr>
      </w:pPr>
      <w:r>
        <w:t xml:space="preserve">Data platform modernisation and roadmap delivery</w:t>
      </w:r>
    </w:p>
    <w:p>
      <w:pPr>
        <w:pStyle w:val="Compact"/>
        <w:numPr>
          <w:ilvl w:val="0"/>
          <w:numId w:val="1001"/>
        </w:numPr>
      </w:pPr>
      <w:r>
        <w:t xml:space="preserve">Stakeholder management across business and technical teams</w:t>
      </w:r>
    </w:p>
    <w:p>
      <w:pPr>
        <w:pStyle w:val="Compact"/>
        <w:numPr>
          <w:ilvl w:val="0"/>
          <w:numId w:val="1001"/>
        </w:numPr>
      </w:pPr>
      <w:r>
        <w:t xml:space="preserve">Architectural guidance across data platforms and initiatives</w:t>
      </w:r>
    </w:p>
    <w:p>
      <w:pPr>
        <w:pStyle w:val="Compact"/>
        <w:numPr>
          <w:ilvl w:val="0"/>
          <w:numId w:val="1001"/>
        </w:numPr>
      </w:pPr>
      <w:r>
        <w:t xml:space="preserve">Data quality, metadata, lineage, and governance controls</w:t>
      </w:r>
    </w:p>
    <w:p>
      <w:pPr>
        <w:pStyle w:val="Compact"/>
        <w:numPr>
          <w:ilvl w:val="0"/>
          <w:numId w:val="1001"/>
        </w:numPr>
      </w:pPr>
      <w:r>
        <w:t xml:space="preserve">Financial and regulated domain data architecture exposure</w:t>
      </w:r>
    </w:p>
    <w:bookmarkEnd w:id="11"/>
    <w:bookmarkStart w:id="12" w:name="technical-skills"/>
    <w:p>
      <w:pPr>
        <w:pStyle w:val="Heading2"/>
      </w:pPr>
      <w:r>
        <w:t xml:space="preserve">Technical Skills</w:t>
      </w:r>
    </w:p>
    <w:p>
      <w:pPr>
        <w:pStyle w:val="Compact"/>
        <w:numPr>
          <w:ilvl w:val="0"/>
          <w:numId w:val="1002"/>
        </w:numPr>
      </w:pPr>
      <w:r>
        <w:t xml:space="preserve">Data Architecture: enterprise data architecture, target-state design, standards, governance controls</w:t>
      </w:r>
    </w:p>
    <w:p>
      <w:pPr>
        <w:pStyle w:val="Compact"/>
        <w:numPr>
          <w:ilvl w:val="0"/>
          <w:numId w:val="1002"/>
        </w:numPr>
      </w:pPr>
      <w:r>
        <w:t xml:space="preserve">Data Platforms: Microsoft Azure, Azure SQL, SQL Server, Azure Data Factory, Microsoft Fabric, Event Hub</w:t>
      </w:r>
    </w:p>
    <w:p>
      <w:pPr>
        <w:pStyle w:val="Compact"/>
        <w:numPr>
          <w:ilvl w:val="0"/>
          <w:numId w:val="1002"/>
        </w:numPr>
      </w:pPr>
      <w:r>
        <w:t xml:space="preserve">Data Engineering: SQL, ETL/ELT, SSIS, CDC patterns, integration design, data migration and cutover planning</w:t>
      </w:r>
    </w:p>
    <w:p>
      <w:pPr>
        <w:pStyle w:val="Compact"/>
        <w:numPr>
          <w:ilvl w:val="0"/>
          <w:numId w:val="1002"/>
        </w:numPr>
      </w:pPr>
      <w:r>
        <w:t xml:space="preserve">Modelling and Warehousing: dimensional modelling, data warehouse/lakehouse architecture, medallion patterns</w:t>
      </w:r>
    </w:p>
    <w:p>
      <w:pPr>
        <w:pStyle w:val="Compact"/>
        <w:numPr>
          <w:ilvl w:val="0"/>
          <w:numId w:val="1002"/>
        </w:numPr>
      </w:pPr>
      <w:r>
        <w:t xml:space="preserve">Analytics: Power BI, DAX, semantic models, deployment pipelines</w:t>
      </w:r>
    </w:p>
    <w:p>
      <w:pPr>
        <w:pStyle w:val="Compact"/>
        <w:numPr>
          <w:ilvl w:val="0"/>
          <w:numId w:val="1002"/>
        </w:numPr>
      </w:pPr>
      <w:r>
        <w:t xml:space="preserve">Governance and Documentation: metadata, lineage, architecture documentation, operational standards</w:t>
      </w:r>
    </w:p>
    <w:p>
      <w:pPr>
        <w:pStyle w:val="Compact"/>
        <w:numPr>
          <w:ilvl w:val="0"/>
          <w:numId w:val="1002"/>
        </w:numPr>
      </w:pPr>
      <w:r>
        <w:t xml:space="preserve">Delivery: Azure DevOps, CI/CD, release governance, resilience and performance tuning</w:t>
      </w:r>
    </w:p>
    <w:bookmarkEnd w:id="12"/>
    <w:bookmarkStart w:id="13" w:name="jd-alignment"/>
    <w:p>
      <w:pPr>
        <w:pStyle w:val="Heading2"/>
      </w:pPr>
      <w:r>
        <w:t xml:space="preserve">JD Alignment</w:t>
      </w:r>
    </w:p>
    <w:p>
      <w:pPr>
        <w:pStyle w:val="Compact"/>
        <w:numPr>
          <w:ilvl w:val="0"/>
          <w:numId w:val="1003"/>
        </w:numPr>
      </w:pPr>
      <w:r>
        <w:t xml:space="preserve">Strong core Data Architecture background (not solely Data Engineering focused)</w:t>
      </w:r>
    </w:p>
    <w:p>
      <w:pPr>
        <w:pStyle w:val="Compact"/>
        <w:numPr>
          <w:ilvl w:val="0"/>
          <w:numId w:val="1003"/>
        </w:numPr>
      </w:pPr>
      <w:r>
        <w:t xml:space="preserve">Proven enterprise environment delivery experience</w:t>
      </w:r>
    </w:p>
    <w:p>
      <w:pPr>
        <w:pStyle w:val="Compact"/>
        <w:numPr>
          <w:ilvl w:val="0"/>
          <w:numId w:val="1003"/>
        </w:numPr>
      </w:pPr>
      <w:r>
        <w:t xml:space="preserve">Excellent documentation and governance experience</w:t>
      </w:r>
    </w:p>
    <w:p>
      <w:pPr>
        <w:pStyle w:val="Compact"/>
        <w:numPr>
          <w:ilvl w:val="0"/>
          <w:numId w:val="1003"/>
        </w:numPr>
      </w:pPr>
      <w:r>
        <w:t xml:space="preserve">Ability to drive and lead architectural functions</w:t>
      </w:r>
    </w:p>
    <w:p>
      <w:pPr>
        <w:pStyle w:val="Compact"/>
        <w:numPr>
          <w:ilvl w:val="0"/>
          <w:numId w:val="1003"/>
        </w:numPr>
      </w:pPr>
      <w:r>
        <w:t xml:space="preserve">Strong stakeholder management capability</w:t>
      </w:r>
    </w:p>
    <w:p>
      <w:pPr>
        <w:pStyle w:val="Compact"/>
        <w:numPr>
          <w:ilvl w:val="0"/>
          <w:numId w:val="1003"/>
        </w:numPr>
      </w:pPr>
      <w:r>
        <w:t xml:space="preserve">Experience across finance-related and regulated data domains</w:t>
      </w:r>
    </w:p>
    <w:p>
      <w:pPr>
        <w:pStyle w:val="Compact"/>
        <w:numPr>
          <w:ilvl w:val="0"/>
          <w:numId w:val="1003"/>
        </w:numPr>
      </w:pPr>
      <w:r>
        <w:t xml:space="preserve">Melbourne-based and comfortable with hybrid working</w:t>
      </w:r>
    </w:p>
    <w:bookmarkEnd w:id="13"/>
    <w:bookmarkStart w:id="21"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Delivered enterprise data strategy initiatives to align architecture direction with business and platform outcomes.</w:t>
      </w:r>
      <w:r>
        <w:t xml:space="preserve"> </w:t>
      </w:r>
      <w:r>
        <w:t xml:space="preserve">- Implemented master data management (MDM) standards to improve consistency, control, and trust across shared datasets.</w:t>
      </w:r>
      <w:r>
        <w:t xml:space="preserve"> </w:t>
      </w:r>
      <w:r>
        <w:t xml:space="preserve">- Led and drove the data architecture function in a hands-on enterprise delivery environment.</w:t>
      </w:r>
      <w:r>
        <w:t xml:space="preserve"> </w:t>
      </w:r>
      <w:r>
        <w:t xml:space="preserve">- Defined architecture standards, governance controls, and documentation practices to improve quality and consistency.</w:t>
      </w:r>
      <w:r>
        <w:t xml:space="preserve"> </w:t>
      </w:r>
      <w:r>
        <w:t xml:space="preserve">- Delivered current-state assessment outcomes and target-state architecture direction for data platform uplift.</w:t>
      </w:r>
      <w:r>
        <w:t xml:space="preserve"> </w:t>
      </w:r>
      <w:r>
        <w:t xml:space="preserve">- Implemented and governed medallion architecture patterns (Bronze, Silver, Gold) for scalable enterprise data layers.</w:t>
      </w:r>
      <w:r>
        <w:t xml:space="preserve"> </w:t>
      </w:r>
      <w:r>
        <w:t xml:space="preserve">- Provided architectural guidance across integration, data platform, and reporting initiatives.</w:t>
      </w:r>
      <w:r>
        <w:t xml:space="preserve"> </w:t>
      </w:r>
      <w:r>
        <w:t xml:space="preserve">- Collaborated with senior stakeholders to prioritise roadmap items and align architecture with business outcomes.</w:t>
      </w:r>
    </w:p>
    <w:bookmarkEnd w:id="14"/>
    <w:bookmarkStart w:id="15" w:name="Xa3e23a787797b26d408ded3d00c3d6bada92111"/>
    <w:p>
      <w:pPr>
        <w:pStyle w:val="Heading3"/>
      </w:pPr>
      <w:r>
        <w:t xml:space="preserve">Abano Healthcare Group, Melbourne, Australia (Hybrid)</w:t>
      </w:r>
    </w:p>
    <w:p>
      <w:pPr>
        <w:pStyle w:val="FirstParagraph"/>
      </w:pPr>
      <w:r>
        <w:rPr>
          <w:b/>
          <w:bCs/>
        </w:rPr>
        <w:t xml:space="preserve">Data and Analytics Architect | Nov 2022 - Apr 2025</w:t>
      </w:r>
      <w:r>
        <w:t xml:space="preserve"> </w:t>
      </w:r>
      <w:r>
        <w:t xml:space="preserve">- Defined and executed enterprise data strategy across analytics and integration modernization programs.</w:t>
      </w:r>
      <w:r>
        <w:t xml:space="preserve"> </w:t>
      </w:r>
      <w:r>
        <w:t xml:space="preserve">- Implemented master data management (MDM) governance practices across finance and operational data domains.</w:t>
      </w:r>
      <w:r>
        <w:t xml:space="preserve"> </w:t>
      </w:r>
      <w:r>
        <w:t xml:space="preserve">- Owned enterprise data architecture direction across analytics and integration capability spanning 250+ endpoints.</w:t>
      </w:r>
      <w:r>
        <w:t xml:space="preserve"> </w:t>
      </w:r>
      <w:r>
        <w:t xml:space="preserve">- Defined and maintained target-state architecture frameworks and governance practices for modernization.</w:t>
      </w:r>
      <w:r>
        <w:t xml:space="preserve"> </w:t>
      </w:r>
      <w:r>
        <w:t xml:space="preserve">- Led architecture planning across finance and payroll data domains in regulated enterprise contexts.</w:t>
      </w:r>
      <w:r>
        <w:t xml:space="preserve"> </w:t>
      </w:r>
      <w:r>
        <w:t xml:space="preserve">- Strengthened documentation, modelling standards, and release governance for scalable platform operations.</w:t>
      </w:r>
      <w:r>
        <w:t xml:space="preserve"> </w:t>
      </w:r>
      <w:r>
        <w:t xml:space="preserve">- Partnered with business and technical stakeholders to guide architecture decisions and delivery trade-offs.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resilience and performance of enterprise SQL data services supporting critical reporting workloads.</w:t>
      </w:r>
      <w:r>
        <w:t xml:space="preserve"> </w:t>
      </w:r>
      <w:r>
        <w:t xml:space="preserve">- Supported architecture and migration workstreams in large, integration-heavy environments.</w:t>
      </w:r>
      <w:r>
        <w:t xml:space="preserve"> </w:t>
      </w:r>
      <w:r>
        <w:t xml:space="preserve">- Contributed governance and documentation practices to improve operational supportability.</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Led an 8 TB SQL Server to Azure migration, including governance controls, architecture documentation, and controlled cutover.</w:t>
      </w:r>
      <w:r>
        <w:t xml:space="preserve"> </w:t>
      </w:r>
      <w:r>
        <w:t xml:space="preserve">- Delivered architecture-aligned integration and migration outcomes in a mission-critical regulated environment.</w:t>
      </w:r>
      <w:r>
        <w:t xml:space="preserve"> </w:t>
      </w:r>
      <w:r>
        <w:t xml:space="preserve">- Improved security, compliance posture, and reliability through platform hardening and standards-based operations.</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integration and reporting data services supporting enterprise operational decision-making.</w:t>
      </w:r>
      <w:r>
        <w:t xml:space="preserve"> </w:t>
      </w:r>
      <w:r>
        <w:t xml:space="preserve">- Implemented reliable data pipelines and reporting logic in production environments.</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Delivered data migration and system integration activities for enterprise transformation initiatives.</w:t>
      </w:r>
      <w:r>
        <w:t xml:space="preserve"> </w:t>
      </w:r>
      <w:r>
        <w:t xml:space="preserve">- Supported release governance, UAT, and cutover planning across multiple systems.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Modernised legacy systems to SQL Server and .NET-aligned platforms.</w:t>
      </w:r>
      <w:r>
        <w:t xml:space="preserve"> </w:t>
      </w:r>
      <w:r>
        <w:t xml:space="preserve">- Supported data migration and go-live activities in regulated operations.</w:t>
      </w:r>
    </w:p>
    <w:bookmarkEnd w:id="20"/>
    <w:bookmarkEnd w:id="21"/>
    <w:bookmarkStart w:id="22" w:name="education"/>
    <w:p>
      <w:pPr>
        <w:pStyle w:val="Heading2"/>
      </w:pPr>
      <w:r>
        <w:t xml:space="preserve">Education</w:t>
      </w:r>
    </w:p>
    <w:p>
      <w:pPr>
        <w:pStyle w:val="Compact"/>
        <w:numPr>
          <w:ilvl w:val="0"/>
          <w:numId w:val="1004"/>
        </w:numPr>
      </w:pPr>
      <w:r>
        <w:t xml:space="preserve">MSc in Computer Science (First Class Honors)</w:t>
      </w:r>
    </w:p>
    <w:p>
      <w:pPr>
        <w:pStyle w:val="Compact"/>
        <w:numPr>
          <w:ilvl w:val="0"/>
          <w:numId w:val="1004"/>
        </w:numPr>
      </w:pPr>
      <w:r>
        <w:t xml:space="preserve">A/L (Double Maths, Physics, Chemistry) - Ananda College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2026-02-25T09:16:56Z</dcterms:created>
  <dcterms:modified xsi:type="dcterms:W3CDTF">2026-02-25T09:16:56Z</dcterms:modified>
</cp:coreProperties>
</file>

<file path=docProps/custom.xml><?xml version="1.0" encoding="utf-8"?>
<Properties xmlns="http://schemas.openxmlformats.org/officeDocument/2006/custom-properties" xmlns:vt="http://schemas.openxmlformats.org/officeDocument/2006/docPropsVTypes"/>
</file>