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Melbourne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Architect contract role in Melbourne.</w:t>
      </w:r>
    </w:p>
    <w:p>
      <w:pPr>
        <w:pStyle w:val="BodyText"/>
      </w:pPr>
      <w:r>
        <w:t xml:space="preserve">I bring 15+ years of experience across enterprise data architecture, governance, and platform modernization, with strong hands-on delivery in large and complex environments. My background aligns strongly with your requirements for a core Data Architecture profile that can lead architectural direction, maintain standards, and work closely with stakeholders.</w:t>
      </w:r>
    </w:p>
    <w:p>
      <w:pPr>
        <w:pStyle w:val="BodyText"/>
      </w:pPr>
      <w:r>
        <w:t xml:space="preserve">In recent roles, I have led architecture functions, defined enterprise data architecture frameworks, and established governance and documentation standards to improve quality, consistency, and delivery outcomes. I have also provided architecture guidance across data platform and integration initiatives, while partnering with business and technical teams to align decisions with strategic priorities.</w:t>
      </w:r>
    </w:p>
    <w:p>
      <w:pPr>
        <w:pStyle w:val="BodyText"/>
      </w:pPr>
      <w:r>
        <w:t xml:space="preserve">I am confident I can add value immediately in this long-term hybrid engagement by providing strong architecture leadership, practical governance execution, and clear stakeholder communication.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2026-02-25T09:16:56Z</dcterms:created>
  <dcterms:modified xsi:type="dcterms:W3CDTF">2026-02-25T09:16:56Z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