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manager-data-integration"/>
    <w:p>
      <w:pPr>
        <w:pStyle w:val="Heading2"/>
      </w:pPr>
      <w:r>
        <w:t xml:space="preserve">Senior Manager, Data &amp; Integration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data and architecture leader with 15+ years of experience across data engineering, BI, and enterprise data platform delivery in Australia and New Zealand. Proven success assessing current-state data landscapes, defining uplift roadmaps, and delivering scalable, governed data platforms aligned to business outcomes. Strong expertise in Azure data services, SQL, ETL/ELT pipeline design, ADF/SSIS development, Power BI (DAX, semantic models, deployment pipelines), enterprise integration, and architecture governance. Commercially aware, stakeholder-focused, and effective operating autonomously in first-data-hire and build-from-scratch environments.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t xml:space="preserve">Enterprise Data Strategy and Data Function Build-Out</w:t>
      </w:r>
    </w:p>
    <w:p>
      <w:pPr>
        <w:pStyle w:val="Compact"/>
        <w:numPr>
          <w:ilvl w:val="0"/>
          <w:numId w:val="1001"/>
        </w:numPr>
      </w:pPr>
      <w:r>
        <w:t xml:space="preserve">Current-State Assessment and Data Landscape Optimisation</w:t>
      </w:r>
    </w:p>
    <w:p>
      <w:pPr>
        <w:pStyle w:val="Compact"/>
        <w:numPr>
          <w:ilvl w:val="0"/>
          <w:numId w:val="1001"/>
        </w:numPr>
      </w:pPr>
      <w:r>
        <w:t xml:space="preserve">Enterprise Data Warehouse / Lakehouse Architecture (Azure)</w:t>
      </w:r>
    </w:p>
    <w:p>
      <w:pPr>
        <w:pStyle w:val="Compact"/>
        <w:numPr>
          <w:ilvl w:val="0"/>
          <w:numId w:val="1001"/>
        </w:numPr>
      </w:pPr>
      <w:r>
        <w:t xml:space="preserve">Dimensional Data Modeling for Operational and Project Reporting</w:t>
      </w:r>
    </w:p>
    <w:p>
      <w:pPr>
        <w:pStyle w:val="Compact"/>
        <w:numPr>
          <w:ilvl w:val="0"/>
          <w:numId w:val="1001"/>
        </w:numPr>
      </w:pPr>
      <w:r>
        <w:t xml:space="preserve">Bronze, Silver, Gold Data Layering and Lifecycle Controls</w:t>
      </w:r>
    </w:p>
    <w:p>
      <w:pPr>
        <w:pStyle w:val="Compact"/>
        <w:numPr>
          <w:ilvl w:val="0"/>
          <w:numId w:val="1001"/>
        </w:numPr>
      </w:pPr>
      <w:r>
        <w:t xml:space="preserve">ETL/ELT Pipeline Design and Integration Across Core Systems</w:t>
      </w:r>
    </w:p>
    <w:p>
      <w:pPr>
        <w:pStyle w:val="Compact"/>
        <w:numPr>
          <w:ilvl w:val="0"/>
          <w:numId w:val="1001"/>
        </w:numPr>
      </w:pPr>
      <w:r>
        <w:t xml:space="preserve">Advanced Power BI Capability (DAX, Semantic Models, Deployment Pipelines)</w:t>
      </w:r>
    </w:p>
    <w:p>
      <w:pPr>
        <w:pStyle w:val="Compact"/>
        <w:numPr>
          <w:ilvl w:val="0"/>
          <w:numId w:val="1001"/>
        </w:numPr>
      </w:pPr>
      <w:r>
        <w:t xml:space="preserve">Data Quality, Governance, Metadata, and Lineage Practices</w:t>
      </w:r>
    </w:p>
    <w:p>
      <w:pPr>
        <w:pStyle w:val="Compact"/>
        <w:numPr>
          <w:ilvl w:val="0"/>
          <w:numId w:val="1001"/>
        </w:numPr>
      </w:pPr>
      <w:r>
        <w:t xml:space="preserve">Master Data Management (MDM) Framework and Standards Alignment</w:t>
      </w:r>
    </w:p>
    <w:p>
      <w:pPr>
        <w:pStyle w:val="Compact"/>
        <w:numPr>
          <w:ilvl w:val="0"/>
          <w:numId w:val="1001"/>
        </w:numPr>
      </w:pPr>
      <w:r>
        <w:t xml:space="preserve">Stakeholder Engagement, Vendor Coordination, and Autonomous Delivery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Data Platforms: Microsoft Azure, Azure SQL, SQL Server, Azure Data Factory (ADF), Event Hub, Microsoft Fabric</w:t>
      </w:r>
    </w:p>
    <w:p>
      <w:pPr>
        <w:pStyle w:val="Compact"/>
        <w:numPr>
          <w:ilvl w:val="0"/>
          <w:numId w:val="1002"/>
        </w:numPr>
      </w:pPr>
      <w:r>
        <w:t xml:space="preserve">Data Engineering and Integration: SQL, ETL/ELT, SSIS, CDC patterns, data migration, cutover planning</w:t>
      </w:r>
    </w:p>
    <w:p>
      <w:pPr>
        <w:pStyle w:val="Compact"/>
        <w:numPr>
          <w:ilvl w:val="0"/>
          <w:numId w:val="1002"/>
        </w:numPr>
      </w:pPr>
      <w:r>
        <w:t xml:space="preserve">Analytics and BI: Power BI, DAX, semantic models, deployment pipelines, enterprise reporting ecosystems</w:t>
      </w:r>
    </w:p>
    <w:p>
      <w:pPr>
        <w:pStyle w:val="Compact"/>
        <w:numPr>
          <w:ilvl w:val="0"/>
          <w:numId w:val="1002"/>
        </w:numPr>
      </w:pPr>
      <w:r>
        <w:t xml:space="preserve">Governance: Microsoft Purview, architecture governance, metadata and lineage controls, data quality controls</w:t>
      </w:r>
    </w:p>
    <w:p>
      <w:pPr>
        <w:pStyle w:val="Compact"/>
        <w:numPr>
          <w:ilvl w:val="0"/>
          <w:numId w:val="1002"/>
        </w:numPr>
      </w:pPr>
      <w:r>
        <w:t xml:space="preserve">Delivery: Azure DevOps, CI/CD, release governance, operational readiness, resilience and performance tuning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data platform, integration, and reporting architecture direction in a hands-on delivery environment.</w:t>
      </w:r>
      <w:r>
        <w:t xml:space="preserve"> </w:t>
      </w:r>
      <w:r>
        <w:t xml:space="preserve">- Reviewed current-state platform patterns, identified inefficiencies and duplication, and drove targeted uplift actions.</w:t>
      </w:r>
      <w:r>
        <w:t xml:space="preserve"> </w:t>
      </w:r>
      <w:r>
        <w:t xml:space="preserve">- Defined standards, governance guardrails, and delivery practices to improve quality, consistency, and supportability.</w:t>
      </w:r>
      <w:r>
        <w:t xml:space="preserve"> </w:t>
      </w:r>
      <w:r>
        <w:t xml:space="preserve">- Implemented Microsoft Fabric Medallion Architecture (Bronze, Silver, Gold) and Fabric Mirroring patterns to strengthen governed data ingestion and transformation.</w:t>
      </w:r>
      <w:r>
        <w:t xml:space="preserve"> </w:t>
      </w:r>
      <w:r>
        <w:t xml:space="preserve">- Owned Power BI uplift activities across reporting environments, including DAX optimization, semantic model design, and deployment pipeline improvements.</w:t>
      </w:r>
      <w:r>
        <w:t xml:space="preserve"> </w:t>
      </w:r>
      <w:r>
        <w:t xml:space="preserve">- Guided teams on ETL/ELT, integration, and operational reliability decisions across enterprise workloads.</w:t>
      </w:r>
      <w:r>
        <w:t xml:space="preserve"> </w:t>
      </w:r>
      <w:r>
        <w:t xml:space="preserve">- Partnered with stakeholders and vendors to prioritize delivery roadmap items based on business value.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Architecture owner for enterprise analytics and integration capability spanning</w:t>
      </w:r>
      <w:r>
        <w:t xml:space="preserve"> </w:t>
      </w:r>
      <w:r>
        <w:rPr>
          <w:b/>
          <w:bCs/>
        </w:rPr>
        <w:t xml:space="preserve">250+ endpoints</w:t>
      </w:r>
      <w:r>
        <w:t xml:space="preserve">.</w:t>
      </w:r>
      <w:r>
        <w:t xml:space="preserve"> </w:t>
      </w:r>
      <w:r>
        <w:t xml:space="preserve">- Defined target-state architecture and roadmap for platform modernization, integration uplift, and reporting enablement.</w:t>
      </w:r>
      <w:r>
        <w:t xml:space="preserve"> </w:t>
      </w:r>
      <w:r>
        <w:t xml:space="preserve">- Designed the architecture to modernize two legacy data warehouses to Microsoft Fabric, improving scalability, governance, and analytics readiness.</w:t>
      </w:r>
      <w:r>
        <w:t xml:space="preserve"> </w:t>
      </w:r>
      <w:r>
        <w:t xml:space="preserve">- Led design and implementation planning across finance, payroll, and clinical-adjacent system integrations.</w:t>
      </w:r>
      <w:r>
        <w:t xml:space="preserve"> </w:t>
      </w:r>
      <w:r>
        <w:t xml:space="preserve">- Strengthened BI governance through Power BI modeling standards, DAX quality practices, semantic model consistency, and controlled deployment pipelines.</w:t>
      </w:r>
      <w:r>
        <w:t xml:space="preserve"> </w:t>
      </w:r>
      <w:r>
        <w:t xml:space="preserve">- Designed and improved ETL/ELT patterns using SQL and Azure data services, including ADF/SSIS-aligned delivery contexts.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health, capacity planning, and service resilience for business-critical data services.</w:t>
      </w:r>
      <w:r>
        <w:t xml:space="preserve"> </w:t>
      </w:r>
      <w:r>
        <w:t xml:space="preserve">- Supported enterprise platform consolidation across ANZ and contributed to modernization workstreams.</w:t>
      </w:r>
      <w:r>
        <w:t xml:space="preserve"> </w:t>
      </w:r>
      <w:r>
        <w:t xml:space="preserve">- Provided technical leadership in integration-heavy environments, including Dynamics 365 Finance and Operations contexts.</w:t>
      </w:r>
      <w:r>
        <w:t xml:space="preserve"> </w:t>
      </w:r>
      <w:r>
        <w:t xml:space="preserve">- Contributed to data workstreams supporting system implementations and migrations.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mission-critical healthcare setting.</w:t>
      </w:r>
      <w:r>
        <w:t xml:space="preserve"> </w:t>
      </w:r>
      <w:r>
        <w:t xml:space="preserve">- Led</w:t>
      </w:r>
      <w:r>
        <w:t xml:space="preserve"> </w:t>
      </w:r>
      <w:r>
        <w:rPr>
          <w:b/>
          <w:bCs/>
        </w:rPr>
        <w:t xml:space="preserve">8 TB SQL Server to Azure migration</w:t>
      </w:r>
      <w:r>
        <w:t xml:space="preserve"> </w:t>
      </w:r>
      <w:r>
        <w:t xml:space="preserve">with staged governance, controlled cutover, and minimal downtime.</w:t>
      </w:r>
      <w:r>
        <w:t xml:space="preserve"> </w:t>
      </w:r>
      <w:r>
        <w:t xml:space="preserve">- Led data workstreams for system implementations and migrations across enterprise healthcare environments.</w:t>
      </w:r>
      <w:r>
        <w:t xml:space="preserve"> </w:t>
      </w:r>
      <w:r>
        <w:t xml:space="preserve">- Improved platform security, compliance posture, and operational supportability through hardening and tuning.</w:t>
      </w:r>
      <w:r>
        <w:t xml:space="preserve"> </w:t>
      </w:r>
      <w:r>
        <w:t xml:space="preserve">- Planned for growth, performance, and resilience while maintaining continuous service delivery.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Delivered integration and reporting data services for healthcare operations and ministry-aligned requirements.</w:t>
      </w:r>
      <w:r>
        <w:t xml:space="preserve"> </w:t>
      </w:r>
      <w:r>
        <w:t xml:space="preserve">- Implemented reporting pipelines and business logic to improve operational decision support.</w:t>
      </w:r>
      <w:r>
        <w:t xml:space="preserve"> </w:t>
      </w:r>
      <w:r>
        <w:t xml:space="preserve">- Supported production troubleshooting and service stabilization in high-availability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Delivered data migration and system integration activities for enterprise transformation programs.</w:t>
      </w:r>
      <w:r>
        <w:t xml:space="preserve"> </w:t>
      </w:r>
      <w:r>
        <w:t xml:space="preserve">- Supported release governance, UAT, and cutover planning across multiple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Microsoft Access systems to SQL Server and .NET-aligned platforms.</w:t>
      </w:r>
      <w:r>
        <w:t xml:space="preserve"> </w:t>
      </w:r>
      <w:r>
        <w:t xml:space="preserve">- Supported clinical data migration and go-live activities in regulated healthcare operations.</w:t>
      </w:r>
    </w:p>
    <w:bookmarkEnd w:id="19"/>
    <w:bookmarkEnd w:id="20"/>
    <w:bookmarkStart w:id="21" w:name="role-alignment-highlights"/>
    <w:p>
      <w:pPr>
        <w:pStyle w:val="Heading2"/>
      </w:pPr>
      <w:r>
        <w:t xml:space="preserve">Role Alignment Highlights</w:t>
      </w:r>
    </w:p>
    <w:p>
      <w:pPr>
        <w:pStyle w:val="Compact"/>
        <w:numPr>
          <w:ilvl w:val="0"/>
          <w:numId w:val="1003"/>
        </w:numPr>
      </w:pPr>
      <w:r>
        <w:t xml:space="preserve">Built and matured governance-driven data architecture practices in multi-entity environments.</w:t>
      </w:r>
    </w:p>
    <w:p>
      <w:pPr>
        <w:pStyle w:val="Compact"/>
        <w:numPr>
          <w:ilvl w:val="0"/>
          <w:numId w:val="1003"/>
        </w:numPr>
      </w:pPr>
      <w:r>
        <w:t xml:space="preserve">Delivered roadmap-led platform uplift focused on operational efficiency and long-term scalability.</w:t>
      </w:r>
    </w:p>
    <w:p>
      <w:pPr>
        <w:pStyle w:val="Compact"/>
        <w:numPr>
          <w:ilvl w:val="0"/>
          <w:numId w:val="1003"/>
        </w:numPr>
      </w:pPr>
      <w:r>
        <w:t xml:space="preserve">Combined strategic planning with hands-on technical delivery across data, BI, and integration streams.</w:t>
      </w:r>
    </w:p>
    <w:p>
      <w:pPr>
        <w:pStyle w:val="Compact"/>
        <w:numPr>
          <w:ilvl w:val="0"/>
          <w:numId w:val="1003"/>
        </w:numPr>
      </w:pPr>
      <w:r>
        <w:t xml:space="preserve">Influenced executives, senior stakeholders, and delivery teams without direct line authority.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2026-02-25T00:00:38Z</dcterms:created>
  <dcterms:modified xsi:type="dcterms:W3CDTF">2026-02-25T00:00:38Z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