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udath-attanayake"/>
    <w:p>
      <w:pPr>
        <w:pStyle w:val="Heading1"/>
      </w:pPr>
      <w:r>
        <w:t xml:space="preserve">Sudath Attanayake</w:t>
      </w:r>
    </w:p>
    <w:p>
      <w:pPr>
        <w:pStyle w:val="FirstParagraph"/>
      </w:pPr>
      <w:r>
        <w:t xml:space="preserve">Melbourne, VIC, Australia | Available for 5 days onsite roles</w:t>
      </w:r>
      <w:r>
        <w:t xml:space="preserve"> </w:t>
      </w:r>
      <w:r>
        <w:t xml:space="preserve">LinkedIn: linkedin.com/in/sudath-attanayake | Email: sudatha@gmail.com | Phone: 0411040055</w:t>
      </w:r>
    </w:p>
    <w:bookmarkStart w:id="9" w:name="target-role"/>
    <w:p>
      <w:pPr>
        <w:pStyle w:val="Heading2"/>
      </w:pPr>
      <w:r>
        <w:t xml:space="preserve">Target Role</w:t>
      </w:r>
    </w:p>
    <w:p>
      <w:pPr>
        <w:pStyle w:val="FirstParagraph"/>
      </w:pPr>
      <w:r>
        <w:t xml:space="preserve">Data Architect / Senior Data Modeler - Azure Synapse / Data Vault (Infosys)</w:t>
      </w:r>
    </w:p>
    <w:bookmarkEnd w:id="9"/>
    <w:bookmarkStart w:id="10" w:name="professional-summary"/>
    <w:p>
      <w:pPr>
        <w:pStyle w:val="Heading2"/>
      </w:pPr>
      <w:r>
        <w:t xml:space="preserve">Professional Summary</w:t>
      </w:r>
    </w:p>
    <w:p>
      <w:pPr>
        <w:pStyle w:val="FirstParagraph"/>
      </w:pPr>
      <w:r>
        <w:t xml:space="preserve">Data Architect and Data Engineering leader with 15+ years of experience delivering enterprise data platforms, enterprise data modelling, and analytics transformation across Australia and New Zealand. Strong hands-on capability in conceptual, logical, and physical data modelling, EDW modelling (3NF), dimensional modelling, and modern data warehouse architecture. Proven delivery across Azure data services including Azure Synapse, ADLS Gen2, and ADF, with advanced SQL expertise and strong governance focus on auditability, metadata, lineage, and historical data tracking. Experienced in client-facing consulting, stakeholder leadership, and transformation program delivery in complex regulated environments.</w:t>
      </w:r>
    </w:p>
    <w:bookmarkEnd w:id="10"/>
    <w:bookmarkStart w:id="11" w:name="core-competencies"/>
    <w:p>
      <w:pPr>
        <w:pStyle w:val="Heading2"/>
      </w:pPr>
      <w:r>
        <w:t xml:space="preserve">Core Competencies</w:t>
      </w:r>
    </w:p>
    <w:p>
      <w:pPr>
        <w:pStyle w:val="Compact"/>
        <w:numPr>
          <w:ilvl w:val="0"/>
          <w:numId w:val="1001"/>
        </w:numPr>
      </w:pPr>
      <w:r>
        <w:t xml:space="preserve">Enterprise data modelling: conceptual, logical, and physical data models</w:t>
      </w:r>
    </w:p>
    <w:p>
      <w:pPr>
        <w:pStyle w:val="Compact"/>
        <w:numPr>
          <w:ilvl w:val="0"/>
          <w:numId w:val="1001"/>
        </w:numPr>
      </w:pPr>
      <w:r>
        <w:t xml:space="preserve">Data Vault 2.0, dimensional modelling, and normalised EDW (3NF) modelling</w:t>
      </w:r>
    </w:p>
    <w:p>
      <w:pPr>
        <w:pStyle w:val="Compact"/>
        <w:numPr>
          <w:ilvl w:val="0"/>
          <w:numId w:val="1001"/>
        </w:numPr>
      </w:pPr>
      <w:r>
        <w:t xml:space="preserve">Azure Synapse modelling and performance optimisation</w:t>
      </w:r>
    </w:p>
    <w:p>
      <w:pPr>
        <w:pStyle w:val="Compact"/>
        <w:numPr>
          <w:ilvl w:val="0"/>
          <w:numId w:val="1001"/>
        </w:numPr>
      </w:pPr>
      <w:r>
        <w:t xml:space="preserve">Enterprise data warehouse design and modernisation</w:t>
      </w:r>
    </w:p>
    <w:p>
      <w:pPr>
        <w:pStyle w:val="Compact"/>
        <w:numPr>
          <w:ilvl w:val="0"/>
          <w:numId w:val="1001"/>
        </w:numPr>
      </w:pPr>
      <w:r>
        <w:t xml:space="preserve">SQL engineering (Azure Synapse SQL and Teradata SQL contexts)</w:t>
      </w:r>
    </w:p>
    <w:p>
      <w:pPr>
        <w:pStyle w:val="Compact"/>
        <w:numPr>
          <w:ilvl w:val="0"/>
          <w:numId w:val="1001"/>
        </w:numPr>
      </w:pPr>
      <w:r>
        <w:t xml:space="preserve">Data governance, metadata, lineage, auditability, and historical tracking</w:t>
      </w:r>
    </w:p>
    <w:p>
      <w:pPr>
        <w:pStyle w:val="Compact"/>
        <w:numPr>
          <w:ilvl w:val="0"/>
          <w:numId w:val="1001"/>
        </w:numPr>
      </w:pPr>
      <w:r>
        <w:t xml:space="preserve">Banking and regulated domain data modelling patterns (customer, accounts, transactions, payments, risk, finance, regulatory reporting)</w:t>
      </w:r>
    </w:p>
    <w:p>
      <w:pPr>
        <w:pStyle w:val="Compact"/>
        <w:numPr>
          <w:ilvl w:val="0"/>
          <w:numId w:val="1001"/>
        </w:numPr>
      </w:pPr>
      <w:r>
        <w:t xml:space="preserve">Client advisory, stakeholder workshops, and business transformation engagement</w:t>
      </w:r>
    </w:p>
    <w:p>
      <w:pPr>
        <w:pStyle w:val="Compact"/>
        <w:numPr>
          <w:ilvl w:val="0"/>
          <w:numId w:val="1001"/>
        </w:numPr>
      </w:pPr>
      <w:r>
        <w:t xml:space="preserve">Data platform optimisation: partitioning, distribution strategy, and indexing</w:t>
      </w:r>
    </w:p>
    <w:bookmarkEnd w:id="11"/>
    <w:bookmarkStart w:id="12" w:name="technical-skills"/>
    <w:p>
      <w:pPr>
        <w:pStyle w:val="Heading2"/>
      </w:pPr>
      <w:r>
        <w:t xml:space="preserve">Technical Skills</w:t>
      </w:r>
    </w:p>
    <w:p>
      <w:pPr>
        <w:pStyle w:val="Compact"/>
        <w:numPr>
          <w:ilvl w:val="0"/>
          <w:numId w:val="1002"/>
        </w:numPr>
      </w:pPr>
      <w:r>
        <w:t xml:space="preserve">Data Architecture and Modelling: Data Vault 2.0, dimensional model, EDW 3NF model, conceptual/logical/physical model design</w:t>
      </w:r>
    </w:p>
    <w:p>
      <w:pPr>
        <w:pStyle w:val="Compact"/>
        <w:numPr>
          <w:ilvl w:val="0"/>
          <w:numId w:val="1002"/>
        </w:numPr>
      </w:pPr>
      <w:r>
        <w:t xml:space="preserve">Azure Stack: Azure Synapse Analytics, ADLS Gen2, Azure Data Factory (ADF), Azure SQL, Microsoft Fabric</w:t>
      </w:r>
    </w:p>
    <w:p>
      <w:pPr>
        <w:pStyle w:val="Compact"/>
        <w:numPr>
          <w:ilvl w:val="0"/>
          <w:numId w:val="1002"/>
        </w:numPr>
      </w:pPr>
      <w:r>
        <w:t xml:space="preserve">Data Platforms: SQL Server, Teradata EDW, enterprise warehouse/lakehouse delivery</w:t>
      </w:r>
    </w:p>
    <w:p>
      <w:pPr>
        <w:pStyle w:val="Compact"/>
        <w:numPr>
          <w:ilvl w:val="0"/>
          <w:numId w:val="1002"/>
        </w:numPr>
      </w:pPr>
      <w:r>
        <w:t xml:space="preserve">Data Engineering: SQL, Python, ETL/ELT pipeline design, integration patterns, data migration</w:t>
      </w:r>
    </w:p>
    <w:p>
      <w:pPr>
        <w:pStyle w:val="Compact"/>
        <w:numPr>
          <w:ilvl w:val="0"/>
          <w:numId w:val="1002"/>
        </w:numPr>
      </w:pPr>
      <w:r>
        <w:t xml:space="preserve">Modelling and Governance Tools: Erwin-style modelling practices, metadata and lineage management, governance controls</w:t>
      </w:r>
    </w:p>
    <w:p>
      <w:pPr>
        <w:pStyle w:val="Compact"/>
        <w:numPr>
          <w:ilvl w:val="0"/>
          <w:numId w:val="1002"/>
        </w:numPr>
      </w:pPr>
      <w:r>
        <w:t xml:space="preserve">Analytics: Power BI, DAX, semantic models, deployment pipelines</w:t>
      </w:r>
    </w:p>
    <w:p>
      <w:pPr>
        <w:pStyle w:val="Compact"/>
        <w:numPr>
          <w:ilvl w:val="0"/>
          <w:numId w:val="1002"/>
        </w:numPr>
      </w:pPr>
      <w:r>
        <w:t xml:space="preserve">Delivery: Azure DevOps, CI/CD, release governance, operational readiness</w:t>
      </w:r>
    </w:p>
    <w:bookmarkEnd w:id="12"/>
    <w:bookmarkStart w:id="13" w:name="ats-keyword-alignment"/>
    <w:p>
      <w:pPr>
        <w:pStyle w:val="Heading2"/>
      </w:pPr>
      <w:r>
        <w:t xml:space="preserve">ATS Keyword Alignment</w:t>
      </w:r>
    </w:p>
    <w:p>
      <w:pPr>
        <w:pStyle w:val="FirstParagraph"/>
      </w:pPr>
      <w:r>
        <w:t xml:space="preserve">Data Architect, Senior Data Modeler, Azure Synapse, Data Vault 2.0, Dimensional Modelling, EDW, 3NF, Teradata EDW, ADLS2, ADF, Azure Synapse SQL, Teradata SQL, Erwin, metadata, lineage, auditability, banking domain, regulatory reporting, risk, finance, customer, accounts, transactions, payments.</w:t>
      </w:r>
    </w:p>
    <w:bookmarkEnd w:id="13"/>
    <w:bookmarkStart w:id="21"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architecture and modelling direction, including conceptual, logical, and physical model design for analytics and operational reporting.</w:t>
      </w:r>
      <w:r>
        <w:t xml:space="preserve"> </w:t>
      </w:r>
      <w:r>
        <w:t xml:space="preserve">- Delivered enterprise data strategy and current-state assessment outcomes to prioritize platform uplift and transformation initiatives.</w:t>
      </w:r>
      <w:r>
        <w:t xml:space="preserve"> </w:t>
      </w:r>
      <w:r>
        <w:t xml:space="preserve">- Implemented Data Vault and dimensional modelling-aligned medallion architecture (Bronze, Silver, Gold) to improve lineage, historical tracking, and extensibility.</w:t>
      </w:r>
      <w:r>
        <w:t xml:space="preserve"> </w:t>
      </w:r>
      <w:r>
        <w:t xml:space="preserve">- Designed and optimised Azure-based data platform patterns for scalable ingestion, transformation, and governed access.</w:t>
      </w:r>
      <w:r>
        <w:t xml:space="preserve"> </w:t>
      </w:r>
      <w:r>
        <w:t xml:space="preserve">- Improved model and query performance through partitioning, distribution, indexing, and workload optimization strategies.</w:t>
      </w:r>
      <w:r>
        <w:t xml:space="preserve"> </w:t>
      </w:r>
      <w:r>
        <w:t xml:space="preserve">- Strengthened governance standards for metadata, lineage, auditability, and data quality controls.</w:t>
      </w:r>
      <w:r>
        <w:t xml:space="preserve"> </w:t>
      </w:r>
      <w:r>
        <w:t xml:space="preserve">- Collaborated with business and technical stakeholders to translate requirements into scalable enterprise data models.</w:t>
      </w:r>
    </w:p>
    <w:bookmarkEnd w:id="14"/>
    <w:bookmarkStart w:id="15" w:name="Xa3e23a787797b26d408ded3d00c3d6bada92111"/>
    <w:p>
      <w:pPr>
        <w:pStyle w:val="Heading3"/>
      </w:pPr>
      <w:r>
        <w:t xml:space="preserve">Abano Healthcare Group, Melbourne, Australia (Hybrid)</w:t>
      </w:r>
    </w:p>
    <w:p>
      <w:pPr>
        <w:pStyle w:val="FirstParagraph"/>
      </w:pPr>
      <w:r>
        <w:rPr>
          <w:b/>
          <w:bCs/>
        </w:rPr>
        <w:t xml:space="preserve">Data and Analytics Architect | Nov 2022 - Apr 2025</w:t>
      </w:r>
      <w:r>
        <w:t xml:space="preserve"> </w:t>
      </w:r>
      <w:r>
        <w:t xml:space="preserve">- Owned enterprise data and analytics architecture across 250+ endpoints, with strong focus on EDW modelling and modernization.</w:t>
      </w:r>
      <w:r>
        <w:t xml:space="preserve"> </w:t>
      </w:r>
      <w:r>
        <w:t xml:space="preserve">- Designed target-state warehouse models using dimensional modelling and normalised EDW design principles (3NF).</w:t>
      </w:r>
      <w:r>
        <w:t xml:space="preserve"> </w:t>
      </w:r>
      <w:r>
        <w:t xml:space="preserve">- Led integration and modelling workstreams across finance and operational domains in regulated enterprise environments.</w:t>
      </w:r>
      <w:r>
        <w:t xml:space="preserve"> </w:t>
      </w:r>
      <w:r>
        <w:t xml:space="preserve">- Implemented master data management and governance controls to improve consistency, quality, and trusted reporting outcomes.</w:t>
      </w:r>
      <w:r>
        <w:t xml:space="preserve"> </w:t>
      </w:r>
      <w:r>
        <w:t xml:space="preserve">- Delivered SQL-driven ETL/ELT patterns and modelling standards aligned to enterprise governance requirements.</w:t>
      </w:r>
      <w:r>
        <w:t xml:space="preserve"> </w:t>
      </w:r>
      <w:r>
        <w:t xml:space="preserve">- Partnered with senior stakeholders to align data and AI initiatives to business transformation priorities.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resilience and performance of business-critical SQL data platforms supporting enterprise reporting workloads.</w:t>
      </w:r>
      <w:r>
        <w:t xml:space="preserve"> </w:t>
      </w:r>
      <w:r>
        <w:t xml:space="preserve">- Supported enterprise integration and migration workstreams with strong emphasis on model quality and operational reliability.</w:t>
      </w:r>
      <w:r>
        <w:t xml:space="preserve"> </w:t>
      </w:r>
      <w:r>
        <w:t xml:space="preserve">- Contributed to data architecture and governance practices in multi-system environments.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Led an 8 TB SQL Server to Azure migration with staged governance, controlled cutover, and minimal downtime.</w:t>
      </w:r>
      <w:r>
        <w:t xml:space="preserve"> </w:t>
      </w:r>
      <w:r>
        <w:t xml:space="preserve">- Applied master data management, lineage, and audit-focused controls across migration and integration programs.</w:t>
      </w:r>
      <w:r>
        <w:t xml:space="preserve"> </w:t>
      </w:r>
      <w:r>
        <w:t xml:space="preserve">- Supported conceptual-to-physical modelling outcomes for healthcare data services in regulated settings.</w:t>
      </w:r>
      <w:r>
        <w:t xml:space="preserve"> </w:t>
      </w:r>
      <w:r>
        <w:t xml:space="preserve">- Improved security, compliance posture, and performance tuning across mission-critical data systems.</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enterprise integration and reporting data services for healthcare operations.</w:t>
      </w:r>
      <w:r>
        <w:t xml:space="preserve"> </w:t>
      </w:r>
      <w:r>
        <w:t xml:space="preserve">- Implemented reliable ETL and reporting logic to support operational analytics and decision support.</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Delivered data migration and system integration workstreams for enterprise transformation programs.</w:t>
      </w:r>
      <w:r>
        <w:t xml:space="preserve"> </w:t>
      </w:r>
      <w:r>
        <w:t xml:space="preserve">- Supported release governance, UAT, and cutover planning across multiple data systems.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platforms to SQL Server and .NET-aligned solutions.</w:t>
      </w:r>
      <w:r>
        <w:t xml:space="preserve"> </w:t>
      </w:r>
      <w:r>
        <w:t xml:space="preserve">- Supported data migration, go-live, and operational stabilization in regulated environments.</w:t>
      </w:r>
    </w:p>
    <w:bookmarkEnd w:id="20"/>
    <w:bookmarkEnd w:id="21"/>
    <w:bookmarkStart w:id="22" w:name="education"/>
    <w:p>
      <w:pPr>
        <w:pStyle w:val="Heading2"/>
      </w:pPr>
      <w:r>
        <w:t xml:space="preserve">Education</w:t>
      </w:r>
    </w:p>
    <w:p>
      <w:pPr>
        <w:pStyle w:val="Compact"/>
        <w:numPr>
          <w:ilvl w:val="0"/>
          <w:numId w:val="1003"/>
        </w:numPr>
      </w:pPr>
      <w:r>
        <w:t xml:space="preserve">MSc in Computer Science (First Class Honors)</w:t>
      </w:r>
    </w:p>
    <w:p>
      <w:pPr>
        <w:pStyle w:val="Compact"/>
        <w:numPr>
          <w:ilvl w:val="0"/>
          <w:numId w:val="1003"/>
        </w:numPr>
      </w:pPr>
      <w:r>
        <w:t xml:space="preserve">A/L (Double Maths, Physics, Chemistry) - Ananda College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2026-02-25T04:11:15Z</dcterms:created>
  <dcterms:modified xsi:type="dcterms:W3CDTF">2026-02-25T04:11:15Z</dcterms:modified>
</cp:coreProperties>
</file>

<file path=docProps/custom.xml><?xml version="1.0" encoding="utf-8"?>
<Properties xmlns="http://schemas.openxmlformats.org/officeDocument/2006/custom-properties" xmlns:vt="http://schemas.openxmlformats.org/officeDocument/2006/docPropsVTypes"/>
</file>