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target-role"/>
    <w:p>
      <w:pPr>
        <w:pStyle w:val="Heading2"/>
      </w:pPr>
      <w:r>
        <w:t xml:space="preserve">Target Role</w:t>
      </w:r>
    </w:p>
    <w:p>
      <w:pPr>
        <w:pStyle w:val="FirstParagraph"/>
      </w:pPr>
      <w:r>
        <w:t xml:space="preserve">Data Engineer (Consultant) - Practiv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Data Engineer and Data &amp; Integration leader with 15+ years of experience delivering end-to-end data platform solutions across Australia and New Zealand. Strong background in data modelling, data warehousing, ETL/ELT, pipeline engineering, data governance, and analytics enablement. Advanced SQL and Python capability with proven delivery across cloud-first environments and stakeholder-heavy programs. Known for translating business problems into practical, scalable, and secure data solutions, while balancing speed, quality, and long-term maintainability.</w:t>
      </w:r>
    </w:p>
    <w:bookmarkEnd w:id="10"/>
    <w:bookmarkStart w:id="11" w:name="word-summary---why-i-am-a-strong-fit"/>
    <w:p>
      <w:pPr>
        <w:pStyle w:val="Heading2"/>
      </w:pPr>
      <w:r>
        <w:t xml:space="preserve">100-Word Summary - Why I Am a Strong Fit</w:t>
      </w:r>
    </w:p>
    <w:p>
      <w:pPr>
        <w:pStyle w:val="FirstParagraph"/>
      </w:pPr>
      <w:r>
        <w:t xml:space="preserve">I bring a consultant mindset with deep engineering capability. I have designed and delivered data pipelines, warehouse modernisation programs, and analytics platforms in complex multi-stakeholder environments. My strengths include SQL, Python, ETL/ELT design, governance, and communication with technical and non-technical stakeholders. I enjoy solving the right problem, not just the fastest one, and I am comfortable working in small teams with broad responsibilities. I have delivered modern cloud data solutions, automation outcomes, and high-quality reporting foundations that improve decision-making. I would bring curiosity, ownership, and practical execution to Practiv’s Data Cloud and AI consulting work.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1"/>
        </w:numPr>
      </w:pPr>
      <w:r>
        <w:t xml:space="preserve">Data modelling and dimensional modelling for analytics and reporting</w:t>
      </w:r>
    </w:p>
    <w:p>
      <w:pPr>
        <w:pStyle w:val="Compact"/>
        <w:numPr>
          <w:ilvl w:val="0"/>
          <w:numId w:val="1001"/>
        </w:numPr>
      </w:pPr>
      <w:r>
        <w:t xml:space="preserve">Data warehousing and lakehouse architecture and modernisation</w:t>
      </w:r>
    </w:p>
    <w:p>
      <w:pPr>
        <w:pStyle w:val="Compact"/>
        <w:numPr>
          <w:ilvl w:val="0"/>
          <w:numId w:val="1001"/>
        </w:numPr>
      </w:pPr>
      <w:r>
        <w:t xml:space="preserve">ETL/ELT pipeline design, orchestration, and optimisation</w:t>
      </w:r>
    </w:p>
    <w:p>
      <w:pPr>
        <w:pStyle w:val="Compact"/>
        <w:numPr>
          <w:ilvl w:val="0"/>
          <w:numId w:val="1001"/>
        </w:numPr>
      </w:pPr>
      <w:r>
        <w:t xml:space="preserve">Python and SQL engineering for scalable data transformation and integration</w:t>
      </w:r>
    </w:p>
    <w:p>
      <w:pPr>
        <w:pStyle w:val="Compact"/>
        <w:numPr>
          <w:ilvl w:val="0"/>
          <w:numId w:val="1001"/>
        </w:numPr>
      </w:pPr>
      <w:r>
        <w:t xml:space="preserve">Cloud data services delivery across enterprise environments</w:t>
      </w:r>
    </w:p>
    <w:p>
      <w:pPr>
        <w:pStyle w:val="Compact"/>
        <w:numPr>
          <w:ilvl w:val="0"/>
          <w:numId w:val="1001"/>
        </w:numPr>
      </w:pPr>
      <w:r>
        <w:t xml:space="preserve">Client and stakeholder engagement across technical and business teams</w:t>
      </w:r>
    </w:p>
    <w:p>
      <w:pPr>
        <w:pStyle w:val="Compact"/>
        <w:numPr>
          <w:ilvl w:val="0"/>
          <w:numId w:val="1001"/>
        </w:numPr>
      </w:pPr>
      <w:r>
        <w:t xml:space="preserve">Data governance, data quality, metadata, lineage, and secure handling practices</w:t>
      </w:r>
    </w:p>
    <w:p>
      <w:pPr>
        <w:pStyle w:val="Compact"/>
        <w:numPr>
          <w:ilvl w:val="0"/>
          <w:numId w:val="1001"/>
        </w:numPr>
      </w:pPr>
      <w:r>
        <w:t xml:space="preserve">BI enablement using Power BI and enterprise semantic model standards</w:t>
      </w:r>
    </w:p>
    <w:p>
      <w:pPr>
        <w:pStyle w:val="Compact"/>
        <w:numPr>
          <w:ilvl w:val="0"/>
          <w:numId w:val="1001"/>
        </w:numPr>
      </w:pPr>
      <w:r>
        <w:t xml:space="preserve">DevOps-aligned delivery practices including CI/CD and release governance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2"/>
        </w:numPr>
      </w:pPr>
      <w:r>
        <w:t xml:space="preserve">Data Engineering: SQL, Python, ETL, ELT, SSIS, CDC patterns, data migration, cutover planning</w:t>
      </w:r>
    </w:p>
    <w:p>
      <w:pPr>
        <w:pStyle w:val="Compact"/>
        <w:numPr>
          <w:ilvl w:val="0"/>
          <w:numId w:val="1002"/>
        </w:numPr>
      </w:pPr>
      <w:r>
        <w:t xml:space="preserve">Cloud and Platforms: Microsoft Azure, Azure SQL, SQL Server, Azure Data Factory, Microsoft Fabric, Event Hub</w:t>
      </w:r>
    </w:p>
    <w:p>
      <w:pPr>
        <w:pStyle w:val="Compact"/>
        <w:numPr>
          <w:ilvl w:val="0"/>
          <w:numId w:val="1002"/>
        </w:numPr>
      </w:pPr>
      <w:r>
        <w:t xml:space="preserve">Data Warehousing: enterprise warehouse/lakehouse patterns, medallion architecture, lifecycle controls</w:t>
      </w:r>
    </w:p>
    <w:p>
      <w:pPr>
        <w:pStyle w:val="Compact"/>
        <w:numPr>
          <w:ilvl w:val="0"/>
          <w:numId w:val="1002"/>
        </w:numPr>
      </w:pPr>
      <w:r>
        <w:t xml:space="preserve">Analytics and Visualisation: Power BI, DAX, semantic models, deployment pipelines</w:t>
      </w:r>
    </w:p>
    <w:p>
      <w:pPr>
        <w:pStyle w:val="Compact"/>
        <w:numPr>
          <w:ilvl w:val="0"/>
          <w:numId w:val="1002"/>
        </w:numPr>
      </w:pPr>
      <w:r>
        <w:t xml:space="preserve">Governance and Security: Microsoft Purview, data quality controls, metadata and lineage, governance standards</w:t>
      </w:r>
    </w:p>
    <w:p>
      <w:pPr>
        <w:pStyle w:val="Compact"/>
        <w:numPr>
          <w:ilvl w:val="0"/>
          <w:numId w:val="1002"/>
        </w:numPr>
      </w:pPr>
      <w:r>
        <w:t xml:space="preserve">Delivery Tooling: Azure DevOps, CI/CD, release governance, operational readiness and performance tuning</w:t>
      </w:r>
    </w:p>
    <w:p>
      <w:pPr>
        <w:pStyle w:val="Compact"/>
        <w:numPr>
          <w:ilvl w:val="0"/>
          <w:numId w:val="1002"/>
        </w:numPr>
      </w:pPr>
      <w:r>
        <w:t xml:space="preserve">Collaboration: stakeholder workshops, requirements clarification, documentation, cross-functional enablement</w:t>
      </w:r>
    </w:p>
    <w:bookmarkEnd w:id="13"/>
    <w:bookmarkStart w:id="14" w:name="jd-keyword-alignment"/>
    <w:p>
      <w:pPr>
        <w:pStyle w:val="Heading2"/>
      </w:pPr>
      <w:r>
        <w:t xml:space="preserve">JD Keyword Alignment</w:t>
      </w:r>
    </w:p>
    <w:p>
      <w:pPr>
        <w:pStyle w:val="Compact"/>
        <w:numPr>
          <w:ilvl w:val="0"/>
          <w:numId w:val="1003"/>
        </w:numPr>
      </w:pPr>
      <w:r>
        <w:t xml:space="preserve">Data modelling, data warehousing, ETL processes, complex data pipelines</w:t>
      </w:r>
    </w:p>
    <w:p>
      <w:pPr>
        <w:pStyle w:val="Compact"/>
        <w:numPr>
          <w:ilvl w:val="0"/>
          <w:numId w:val="1003"/>
        </w:numPr>
      </w:pPr>
      <w:r>
        <w:t xml:space="preserve">Client-facing consulting and internal stakeholder collaboration</w:t>
      </w:r>
    </w:p>
    <w:p>
      <w:pPr>
        <w:pStyle w:val="Compact"/>
        <w:numPr>
          <w:ilvl w:val="0"/>
          <w:numId w:val="1003"/>
        </w:numPr>
      </w:pPr>
      <w:r>
        <w:t xml:space="preserve">Cloud data services with transferable capability to Databricks and Snowflake ecosystems</w:t>
      </w:r>
    </w:p>
    <w:p>
      <w:pPr>
        <w:pStyle w:val="Compact"/>
        <w:numPr>
          <w:ilvl w:val="0"/>
          <w:numId w:val="1003"/>
        </w:numPr>
      </w:pPr>
      <w:r>
        <w:t xml:space="preserve">Python and SQL for clean, efficient, scalable data manipulation and integration</w:t>
      </w:r>
    </w:p>
    <w:p>
      <w:pPr>
        <w:pStyle w:val="Compact"/>
        <w:numPr>
          <w:ilvl w:val="0"/>
          <w:numId w:val="1003"/>
        </w:numPr>
      </w:pPr>
      <w:r>
        <w:t xml:space="preserve">Power BI and broader visualisation enablement experience</w:t>
      </w:r>
    </w:p>
    <w:p>
      <w:pPr>
        <w:pStyle w:val="Compact"/>
        <w:numPr>
          <w:ilvl w:val="0"/>
          <w:numId w:val="1003"/>
        </w:numPr>
      </w:pPr>
      <w:r>
        <w:t xml:space="preserve">DevOps practices, documentation discipline, and data security best practices</w:t>
      </w:r>
    </w:p>
    <w:bookmarkEnd w:id="14"/>
    <w:bookmarkStart w:id="22" w:name="professional-experience"/>
    <w:p>
      <w:pPr>
        <w:pStyle w:val="Heading2"/>
      </w:pPr>
      <w:r>
        <w:t xml:space="preserve">Professional Experience</w:t>
      </w:r>
    </w:p>
    <w:bookmarkStart w:id="15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Delivered enterprise data strategy and implementation planning across data platform initiatives.</w:t>
      </w:r>
      <w:r>
        <w:t xml:space="preserve"> </w:t>
      </w:r>
      <w:r>
        <w:t xml:space="preserve">- Led hands-on delivery of enterprise data platform, integration, and reporting solutions in a consulting-style environment.</w:t>
      </w:r>
      <w:r>
        <w:t xml:space="preserve"> </w:t>
      </w:r>
      <w:r>
        <w:t xml:space="preserve">- Performed current-state assessment of data architecture, pipeline reliability, and governance controls to prioritise uplift actions.</w:t>
      </w:r>
      <w:r>
        <w:t xml:space="preserve"> </w:t>
      </w:r>
      <w:r>
        <w:t xml:space="preserve">- Designed and improved ETL/ELT data pipelines to support scalable ingestion, transformation, and trusted downstream analytics.</w:t>
      </w:r>
      <w:r>
        <w:t xml:space="preserve"> </w:t>
      </w:r>
      <w:r>
        <w:t xml:space="preserve">- Implemented medallion architecture patterns (Bronze, Silver, Gold) to strengthen data warehousing and governed data lifecycle controls.</w:t>
      </w:r>
      <w:r>
        <w:t xml:space="preserve"> </w:t>
      </w:r>
      <w:r>
        <w:t xml:space="preserve">- Automated repeatable data and reporting tasks using SQL-based engineering and platform orchestration patterns.</w:t>
      </w:r>
      <w:r>
        <w:t xml:space="preserve"> </w:t>
      </w:r>
      <w:r>
        <w:t xml:space="preserve">- Worked closely with business and technical stakeholders to prioritise roadmap items, resolve data challenges, and deliver practical outcomes.</w:t>
      </w:r>
      <w:r>
        <w:t xml:space="preserve"> </w:t>
      </w:r>
      <w:r>
        <w:t xml:space="preserve">- Strengthened governance, standards, and supportability practices for reliable and secure data operations.</w:t>
      </w:r>
    </w:p>
    <w:bookmarkEnd w:id="15"/>
    <w:bookmarkStart w:id="16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Implemented master data management (MDM) standards and controls to improve consistency of shared datasets.</w:t>
      </w:r>
      <w:r>
        <w:t xml:space="preserve"> </w:t>
      </w:r>
      <w:r>
        <w:t xml:space="preserve">- Owned architecture direction for analytics and integration capability across 250+ endpoints.</w:t>
      </w:r>
      <w:r>
        <w:t xml:space="preserve"> </w:t>
      </w:r>
      <w:r>
        <w:t xml:space="preserve">- Led modernisation strategy for legacy warehouse estates to cloud-native data platform patterns.</w:t>
      </w:r>
      <w:r>
        <w:t xml:space="preserve"> </w:t>
      </w:r>
      <w:r>
        <w:t xml:space="preserve">- Delivered and refined SQL-driven ETL/ELT patterns for cross-system integration and analytics readiness.</w:t>
      </w:r>
      <w:r>
        <w:t xml:space="preserve"> </w:t>
      </w:r>
      <w:r>
        <w:t xml:space="preserve">- Enabled business teams through improved semantic model consistency, DAX quality, and deployment pipeline controls in Power BI.</w:t>
      </w:r>
      <w:r>
        <w:t xml:space="preserve"> </w:t>
      </w:r>
      <w:r>
        <w:t xml:space="preserve">- Collaborated across finance, payroll, and operational teams to convert business requirements into implementable data solutions.</w:t>
      </w:r>
    </w:p>
    <w:bookmarkEnd w:id="16"/>
    <w:bookmarkStart w:id="17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reliability, resilience, and performance of business-critical SQL Server data services.</w:t>
      </w:r>
      <w:r>
        <w:t xml:space="preserve"> </w:t>
      </w:r>
      <w:r>
        <w:t xml:space="preserve">- Supported major integration and migration workstreams in ANZ enterprise environments.</w:t>
      </w:r>
      <w:r>
        <w:t xml:space="preserve"> </w:t>
      </w:r>
      <w:r>
        <w:t xml:space="preserve">- Contributed to technical design and delivery in stakeholder-driven implementation programs.</w:t>
      </w:r>
    </w:p>
    <w:bookmarkEnd w:id="17"/>
    <w:bookmarkStart w:id="18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Applied master data management (MDM) practices during migration and integration workstreams in regulated environments.</w:t>
      </w:r>
      <w:r>
        <w:t xml:space="preserve"> </w:t>
      </w:r>
      <w:r>
        <w:t xml:space="preserve">- Led an 8 TB SQL Server to Azure migration with controlled cutover and minimal downtime.</w:t>
      </w:r>
      <w:r>
        <w:t xml:space="preserve"> </w:t>
      </w:r>
      <w:r>
        <w:t xml:space="preserve">- Delivered integration and migration workstreams for mission-critical healthcare data services.</w:t>
      </w:r>
      <w:r>
        <w:t xml:space="preserve"> </w:t>
      </w:r>
      <w:r>
        <w:t xml:space="preserve">- Improved data platform security, supportability, and operational performance through hardening and tuning.</w:t>
      </w:r>
      <w:r>
        <w:t xml:space="preserve"> </w:t>
      </w:r>
      <w:r>
        <w:t xml:space="preserve">- Maintained high availability and service continuity while supporting continuous improvement initiatives.</w:t>
      </w:r>
    </w:p>
    <w:bookmarkEnd w:id="18"/>
    <w:bookmarkStart w:id="19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integration and reporting data services to improve operational decision support.</w:t>
      </w:r>
      <w:r>
        <w:t xml:space="preserve"> </w:t>
      </w:r>
      <w:r>
        <w:t xml:space="preserve">- Implemented reliable reporting pipelines and business logic across production systems.</w:t>
      </w:r>
    </w:p>
    <w:bookmarkEnd w:id="19"/>
    <w:bookmarkStart w:id="20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Delivered data migration and systems integration in enterprise transformation programs.</w:t>
      </w:r>
      <w:r>
        <w:t xml:space="preserve"> </w:t>
      </w:r>
      <w:r>
        <w:t xml:space="preserve">- Supported UAT, release coordination, and cutover planning across multiple platforms.</w:t>
      </w:r>
    </w:p>
    <w:bookmarkEnd w:id="20"/>
    <w:bookmarkStart w:id="21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Modernised legacy Microsoft Access systems to SQL Server and .NET-aligned solutions.</w:t>
      </w:r>
      <w:r>
        <w:t xml:space="preserve"> </w:t>
      </w:r>
      <w:r>
        <w:t xml:space="preserve">- Supported migration and go-live activities in regulated healthcare operations.</w:t>
      </w:r>
    </w:p>
    <w:bookmarkEnd w:id="21"/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2026-02-25T01:37:22Z</dcterms:created>
  <dcterms:modified xsi:type="dcterms:W3CDTF">2026-02-25T01:37:22Z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