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5 days onsite roles</w:t>
      </w:r>
      <w:r>
        <w:br/>
      </w:r>
      <w:r>
        <w:t xml:space="preserve">LinkedIn: linkedin.com/in/sudath-attanayake | Email: sudatha@gmail.com | Phone: 0411040055</w:t>
      </w:r>
    </w:p>
    <w:bookmarkStart w:id="9" w:name="X82051d78f431ae5e4695423b698b1cbb9d6c588"/>
    <w:p>
      <w:pPr>
        <w:pStyle w:val="Heading2"/>
      </w:pPr>
      <w:r>
        <w:t xml:space="preserve">Senior DBA | Data Platform Modernization (Microsoft Fabric &amp; Azure)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DBA and data platform specialist with 15+ years of experience delivering high-availability SQL Server environments, performance optimization, and enterprise-scale data modernization across Australia and New Zealand. Proven success leading 24x7 mission-critical database operations, improving reliability and throughput in high-transaction systems, and modernizing legacy data warehouses to Microsoft Fabric and Azure infrastructure. Strong hands-on capability across SQL Server, Azure Synapse Analytics, Azure Data Lake Storage, Azure Data Factory, ETL/ELT engineering, governance, and secure operational delivery.</w:t>
      </w:r>
    </w:p>
    <w:bookmarkEnd w:id="10"/>
    <w:bookmarkStart w:id="11" w:name="key-highlights"/>
    <w:p>
      <w:pPr>
        <w:pStyle w:val="Heading2"/>
      </w:pPr>
      <w:r>
        <w:t xml:space="preserve">Key Highlights</w:t>
      </w:r>
    </w:p>
    <w:p>
      <w:pPr>
        <w:pStyle w:val="Compact"/>
        <w:numPr>
          <w:ilvl w:val="0"/>
          <w:numId w:val="1001"/>
        </w:numPr>
      </w:pPr>
      <w:r>
        <w:t xml:space="preserve">Principal DBA for New Zealand’s national ePrescription platform, operating a 24x7 highly critical and high-transaction database environment.</w:t>
      </w:r>
    </w:p>
    <w:p>
      <w:pPr>
        <w:pStyle w:val="Compact"/>
        <w:numPr>
          <w:ilvl w:val="0"/>
          <w:numId w:val="1001"/>
        </w:numPr>
      </w:pPr>
      <w:r>
        <w:t xml:space="preserve">Delivered major performance optimization and stability improvements for two large data warehouses at Abano across New Zealand and Australia.</w:t>
      </w:r>
    </w:p>
    <w:p>
      <w:pPr>
        <w:pStyle w:val="Compact"/>
        <w:numPr>
          <w:ilvl w:val="0"/>
          <w:numId w:val="1001"/>
        </w:numPr>
      </w:pPr>
      <w:r>
        <w:t xml:space="preserve">Led SQL Server to Azure migration programs (including an 8 TB migration) with controlled cutover and minimal downtime.</w:t>
      </w:r>
    </w:p>
    <w:p>
      <w:pPr>
        <w:pStyle w:val="Compact"/>
        <w:numPr>
          <w:ilvl w:val="0"/>
          <w:numId w:val="1001"/>
        </w:numPr>
      </w:pPr>
      <w:r>
        <w:t xml:space="preserve">Designed and implemented platform modernization patterns to Microsoft Fabric and Azure, improving scalability, governance, and analytics readiness.</w:t>
      </w:r>
    </w:p>
    <w:p>
      <w:pPr>
        <w:pStyle w:val="Compact"/>
        <w:numPr>
          <w:ilvl w:val="0"/>
          <w:numId w:val="1001"/>
        </w:numPr>
      </w:pPr>
      <w:r>
        <w:t xml:space="preserve">Built and optimized ETL/ELT pipelines to move data from diverse source systems into centralized, governed data repositories.</w:t>
      </w:r>
    </w:p>
    <w:bookmarkEnd w:id="11"/>
    <w:bookmarkStart w:id="1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2"/>
        </w:numPr>
      </w:pPr>
      <w:r>
        <w:t xml:space="preserve">Database Platforms: SQL Server, Azure SQL, high availability, performance tuning, backup and recovery, capacity planning</w:t>
      </w:r>
    </w:p>
    <w:p>
      <w:pPr>
        <w:pStyle w:val="Compact"/>
        <w:numPr>
          <w:ilvl w:val="0"/>
          <w:numId w:val="1002"/>
        </w:numPr>
      </w:pPr>
      <w:r>
        <w:t xml:space="preserve">Azure and Fabric: Azure Synapse Analytics, Azure Data Lake Storage, Azure Data Factory (ADF), Microsoft Fabric, Event Hub</w:t>
      </w:r>
    </w:p>
    <w:p>
      <w:pPr>
        <w:pStyle w:val="Compact"/>
        <w:numPr>
          <w:ilvl w:val="0"/>
          <w:numId w:val="1002"/>
        </w:numPr>
      </w:pPr>
      <w:r>
        <w:t xml:space="preserve">Data Engineering: ETL/ELT, SQL, Python, SSIS, CDC patterns, data migration, cutover strategy</w:t>
      </w:r>
    </w:p>
    <w:p>
      <w:pPr>
        <w:pStyle w:val="Compact"/>
        <w:numPr>
          <w:ilvl w:val="0"/>
          <w:numId w:val="1002"/>
        </w:numPr>
      </w:pPr>
      <w:r>
        <w:t xml:space="preserve">Governance and Security: Microsoft Purview, metadata and lineage, data quality controls, compliance-aware delivery</w:t>
      </w:r>
    </w:p>
    <w:p>
      <w:pPr>
        <w:pStyle w:val="Compact"/>
        <w:numPr>
          <w:ilvl w:val="0"/>
          <w:numId w:val="1002"/>
        </w:numPr>
      </w:pPr>
      <w:r>
        <w:t xml:space="preserve">Analytics and Delivery: Power BI, DAX, semantic models, Azure DevOps, CI/CD, release governance</w:t>
      </w:r>
    </w:p>
    <w:bookmarkEnd w:id="12"/>
    <w:bookmarkStart w:id="20" w:name="professional-experience"/>
    <w:p>
      <w:pPr>
        <w:pStyle w:val="Heading2"/>
      </w:pPr>
      <w:r>
        <w:t xml:space="preserve">Professional Experience</w:t>
      </w:r>
    </w:p>
    <w:bookmarkStart w:id="13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Led enterprise data platform architecture and hands-on engineering across Azure-based data, integration, and reporting environments.</w:t>
      </w:r>
      <w:r>
        <w:t xml:space="preserve"> </w:t>
      </w:r>
      <w:r>
        <w:t xml:space="preserve">- Implemented Microsoft Fabric Medallion Architecture and mirroring patterns to modernize ingestion and transformation workflows.</w:t>
      </w:r>
      <w:r>
        <w:t xml:space="preserve"> </w:t>
      </w:r>
      <w:r>
        <w:t xml:space="preserve">- Built and optimized ETL/ELT pipelines for diverse operational datasets, improving data reliability and analytics readiness.</w:t>
      </w:r>
      <w:r>
        <w:t xml:space="preserve"> </w:t>
      </w:r>
      <w:r>
        <w:t xml:space="preserve">- Embedded governance, data quality, and security controls across ingestion, transformation, and publishing layers.</w:t>
      </w:r>
      <w:r>
        <w:t xml:space="preserve"> </w:t>
      </w:r>
      <w:r>
        <w:t xml:space="preserve">- Improved Power BI semantic model performance and deployment pipeline reliability for production reporting.</w:t>
      </w:r>
    </w:p>
    <w:bookmarkEnd w:id="13"/>
    <w:bookmarkStart w:id="14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Owned architecture direction for analytics and integration capability spanning 250+ endpoints.</w:t>
      </w:r>
      <w:r>
        <w:t xml:space="preserve"> </w:t>
      </w:r>
      <w:r>
        <w:t xml:space="preserve">- Designed modernization from legacy warehouses to Fabric/Azure patterns across New Zealand and Australia business domains.</w:t>
      </w:r>
      <w:r>
        <w:t xml:space="preserve"> </w:t>
      </w:r>
      <w:r>
        <w:t xml:space="preserve">- Delivered performance uplift initiatives for two large enterprise data warehouses.</w:t>
      </w:r>
      <w:r>
        <w:t xml:space="preserve"> </w:t>
      </w:r>
      <w:r>
        <w:t xml:space="preserve">- Improved ETL/ELT reliability and maintainability using SQL and Azure services (ADF/SSIS).</w:t>
      </w:r>
      <w:r>
        <w:t xml:space="preserve"> </w:t>
      </w:r>
      <w:r>
        <w:t xml:space="preserve">- Strengthened governance through metadata, lineage, and quality standards aligned to enterprise controls.</w:t>
      </w:r>
    </w:p>
    <w:bookmarkEnd w:id="14"/>
    <w:bookmarkStart w:id="15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Managed SQL Server performance, resilience, and operational stability for business-critical data services.</w:t>
      </w:r>
      <w:r>
        <w:t xml:space="preserve"> </w:t>
      </w:r>
      <w:r>
        <w:t xml:space="preserve">- Contributed to ANZ platform consolidation and modernization workstreams across data and integration estates.</w:t>
      </w:r>
      <w:r>
        <w:t xml:space="preserve"> </w:t>
      </w:r>
      <w:r>
        <w:t xml:space="preserve">- Provided DBA leadership in integration-heavy environments including Dynamics 365 Finance and Operations contexts.</w:t>
      </w:r>
    </w:p>
    <w:bookmarkEnd w:id="15"/>
    <w:bookmarkStart w:id="16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Primary DBA for New Zealand’s national ePrescription system in a mission-critical healthcare environment.</w:t>
      </w:r>
      <w:r>
        <w:t xml:space="preserve"> </w:t>
      </w:r>
      <w:r>
        <w:t xml:space="preserve">- Led 8 TB SQL Server to Azure migration using staged governance and controlled cutover with minimal downtime.</w:t>
      </w:r>
      <w:r>
        <w:t xml:space="preserve"> </w:t>
      </w:r>
      <w:r>
        <w:t xml:space="preserve">- Improved security posture, performance, and supportability through proactive tuning and operational hardening.</w:t>
      </w:r>
    </w:p>
    <w:bookmarkEnd w:id="16"/>
    <w:bookmarkStart w:id="17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  <w:r>
        <w:t xml:space="preserve"> </w:t>
      </w:r>
      <w:r>
        <w:t xml:space="preserve">- Delivered integration and reporting data services for healthcare operations and ministry-aligned requirements.</w:t>
      </w:r>
      <w:r>
        <w:t xml:space="preserve"> </w:t>
      </w:r>
      <w:r>
        <w:t xml:space="preserve">- Improved production support outcomes through troubleshooting, performance tuning, and service stabilization.</w:t>
      </w:r>
    </w:p>
    <w:bookmarkEnd w:id="17"/>
    <w:bookmarkStart w:id="18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Delivered database migration and integration activities for enterprise transformation programs.</w:t>
      </w:r>
      <w:r>
        <w:t xml:space="preserve"> </w:t>
      </w:r>
      <w:r>
        <w:t xml:space="preserve">- Supported release governance, UAT, and cutover planning across business systems.</w:t>
      </w:r>
    </w:p>
    <w:bookmarkEnd w:id="18"/>
    <w:bookmarkStart w:id="19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Modernized legacy Microsoft Access applications to SQL Server and .NET-aligned platforms.</w:t>
      </w:r>
      <w:r>
        <w:t xml:space="preserve"> </w:t>
      </w:r>
      <w:r>
        <w:t xml:space="preserve">- Supported clinical data migration and go-live activities in regulated healthcare operations.</w:t>
      </w:r>
    </w:p>
    <w:bookmarkEnd w:id="19"/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3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3"/>
        </w:numPr>
      </w:pPr>
      <w:r>
        <w:t xml:space="preserve">A/L (Double Maths, Physics, Chemistry) - Ananda College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2026-02-25T13:05:55Z</dcterms:created>
  <dcterms:modified xsi:type="dcterms:W3CDTF">2026-02-25T13:05:55Z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