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Moorabbin and Melbourne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02b33a87de4772940501d83a6b43bfc4d1ad5db"/>
    <w:p>
      <w:pPr>
        <w:pStyle w:val="Heading2"/>
      </w:pPr>
      <w:r>
        <w:t xml:space="preserve">Data Migration Lead | Senior HRIS Data Migration Lead | Healthcare Data and ETL Delivery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Data migration and platform leader with 15+ years of experience delivering complex enterprise migration programs across the healthcare industry and multi-domain operational systems in Australia and New Zealand. Proven track record leading end-to-end data migration strategy, extraction, transformation, loading (ETL), data quality assessment, cleansing, cutover, and post-go-live stabilisation. Strong capability in healthcare systems and data standards, including extensive HL7 exposure, with hands-on leadership across stakeholder engagement, delivery vendor coordination, and migration governance. Ready to lead a significant SuccessFactors project in a large healthcare organisation focused on patient outcomes and operational efficiency.</w:t>
      </w:r>
    </w:p>
    <w:bookmarkEnd w:id="10"/>
    <w:bookmarkStart w:id="11" w:name="jd-alignment-keywords"/>
    <w:p>
      <w:pPr>
        <w:pStyle w:val="Heading2"/>
      </w:pPr>
      <w:r>
        <w:t xml:space="preserve">JD Alignment Keywords</w:t>
      </w:r>
    </w:p>
    <w:p>
      <w:pPr>
        <w:numPr>
          <w:ilvl w:val="0"/>
          <w:numId w:val="1001"/>
        </w:numPr>
      </w:pPr>
      <w:r>
        <w:t xml:space="preserve">Proven track record in complex enterprise level data migration strategy and end-to-end data migration process delivery.</w:t>
      </w:r>
    </w:p>
    <w:p>
      <w:pPr>
        <w:numPr>
          <w:ilvl w:val="0"/>
          <w:numId w:val="1001"/>
        </w:numPr>
      </w:pPr>
      <w:r>
        <w:t xml:space="preserve">Develop and implement data migration strategies and data migration plans for a healthcare technology project.</w:t>
      </w:r>
    </w:p>
    <w:p>
      <w:pPr>
        <w:numPr>
          <w:ilvl w:val="0"/>
          <w:numId w:val="1001"/>
        </w:numPr>
      </w:pPr>
      <w:r>
        <w:t xml:space="preserve">Coordinate and lead data extraction, transformation, and loading (ETL) processes using ETL tools and data migration technologies.</w:t>
      </w:r>
    </w:p>
    <w:p>
      <w:pPr>
        <w:numPr>
          <w:ilvl w:val="0"/>
          <w:numId w:val="1001"/>
        </w:numPr>
      </w:pPr>
      <w:r>
        <w:t xml:space="preserve">Collaborate with delivery vendor and business stakeholders to ensure seamless migration outcomes.</w:t>
      </w:r>
    </w:p>
    <w:p>
      <w:pPr>
        <w:numPr>
          <w:ilvl w:val="0"/>
          <w:numId w:val="1001"/>
        </w:numPr>
      </w:pPr>
      <w:r>
        <w:t xml:space="preserve">Conduct data quality assessments and implement data cleansing processes.</w:t>
      </w:r>
    </w:p>
    <w:p>
      <w:pPr>
        <w:numPr>
          <w:ilvl w:val="0"/>
          <w:numId w:val="1001"/>
        </w:numPr>
      </w:pPr>
      <w:r>
        <w:t xml:space="preserve">Strong knowledge of healthcare systems and data standards.</w:t>
      </w:r>
    </w:p>
    <w:p>
      <w:pPr>
        <w:numPr>
          <w:ilvl w:val="0"/>
          <w:numId w:val="1001"/>
        </w:numPr>
      </w:pPr>
      <w:r>
        <w:t xml:space="preserve">Experience supporting HRIS projects and ready to lead SuccessFactors migration delivery.</w:t>
      </w:r>
    </w:p>
    <w:p>
      <w:pPr>
        <w:numPr>
          <w:ilvl w:val="0"/>
          <w:numId w:val="1001"/>
        </w:numPr>
      </w:pPr>
      <w:r>
        <w:t xml:space="preserve">Open to fixed-term contract opportunities.</w:t>
      </w:r>
      <w:r>
        <w:t xml:space="preserve"> </w:t>
      </w:r>
      <w:r>
        <w:t xml:space="preserve">## Core Capabilities</w:t>
      </w:r>
    </w:p>
    <w:p>
      <w:pPr>
        <w:numPr>
          <w:ilvl w:val="0"/>
          <w:numId w:val="1001"/>
        </w:numPr>
      </w:pPr>
      <w:r>
        <w:t xml:space="preserve">End-to-end data migration strategy and execution for enterprise-scale programs</w:t>
      </w:r>
    </w:p>
    <w:p>
      <w:pPr>
        <w:numPr>
          <w:ilvl w:val="0"/>
          <w:numId w:val="1001"/>
        </w:numPr>
      </w:pPr>
      <w:r>
        <w:t xml:space="preserve">Data extraction, transformation, and loading (ETL) leadership across complex source systems</w:t>
      </w:r>
    </w:p>
    <w:p>
      <w:pPr>
        <w:numPr>
          <w:ilvl w:val="0"/>
          <w:numId w:val="1001"/>
        </w:numPr>
      </w:pPr>
      <w:r>
        <w:t xml:space="preserve">HRIS data migration planning and governance, with SuccessFactors project readiness</w:t>
      </w:r>
    </w:p>
    <w:p>
      <w:pPr>
        <w:numPr>
          <w:ilvl w:val="0"/>
          <w:numId w:val="1001"/>
        </w:numPr>
      </w:pPr>
      <w:r>
        <w:t xml:space="preserve">Healthcare systems data migration, including HL7-aligned integration and data handling</w:t>
      </w:r>
    </w:p>
    <w:p>
      <w:pPr>
        <w:numPr>
          <w:ilvl w:val="0"/>
          <w:numId w:val="1001"/>
        </w:numPr>
      </w:pPr>
      <w:r>
        <w:t xml:space="preserve">Data quality assessment, cleansing frameworks, reconciliation, and migration assurance</w:t>
      </w:r>
    </w:p>
    <w:p>
      <w:pPr>
        <w:numPr>
          <w:ilvl w:val="0"/>
          <w:numId w:val="1001"/>
        </w:numPr>
      </w:pPr>
      <w:r>
        <w:t xml:space="preserve">Delivery vendor collaboration and business stakeholder management</w:t>
      </w:r>
    </w:p>
    <w:p>
      <w:pPr>
        <w:numPr>
          <w:ilvl w:val="0"/>
          <w:numId w:val="1001"/>
        </w:numPr>
      </w:pPr>
      <w:r>
        <w:t xml:space="preserve">Migration planning: mapping, transformation rules, mock loads, cutover, and hypercare</w:t>
      </w:r>
    </w:p>
    <w:p>
      <w:pPr>
        <w:numPr>
          <w:ilvl w:val="0"/>
          <w:numId w:val="1001"/>
        </w:numPr>
      </w:pPr>
      <w:r>
        <w:t xml:space="preserve">Migration risk management, issue resolution, and controlled release management</w:t>
      </w:r>
    </w:p>
    <w:p>
      <w:pPr>
        <w:numPr>
          <w:ilvl w:val="0"/>
          <w:numId w:val="1001"/>
        </w:numPr>
      </w:pPr>
      <w:r>
        <w:t xml:space="preserve">Data privacy, security, and compliance-aligned migration delivery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Languages and Data: SQL, T-SQL, Python, PySpark</w:t>
      </w:r>
    </w:p>
    <w:p>
      <w:pPr>
        <w:pStyle w:val="Compact"/>
        <w:numPr>
          <w:ilvl w:val="0"/>
          <w:numId w:val="1002"/>
        </w:numPr>
      </w:pPr>
      <w:r>
        <w:t xml:space="preserve">Data Platforms: Azure SQL, SQL Server, Azure Data Factory, Microsoft Fabric, Event Hub</w:t>
      </w:r>
    </w:p>
    <w:p>
      <w:pPr>
        <w:pStyle w:val="Compact"/>
        <w:numPr>
          <w:ilvl w:val="0"/>
          <w:numId w:val="1002"/>
        </w:numPr>
      </w:pPr>
      <w:r>
        <w:t xml:space="preserve">ETL and Migration Technologies: ETL/ELT pipelines, CDC, replication, API integration, batch and near real-time ingestion</w:t>
      </w:r>
    </w:p>
    <w:p>
      <w:pPr>
        <w:pStyle w:val="Compact"/>
        <w:numPr>
          <w:ilvl w:val="0"/>
          <w:numId w:val="1002"/>
        </w:numPr>
      </w:pPr>
      <w:r>
        <w:t xml:space="preserve">Data Architecture: data modelling, data warehousing, migration design, source-to-target mapping</w:t>
      </w:r>
    </w:p>
    <w:p>
      <w:pPr>
        <w:pStyle w:val="Compact"/>
        <w:numPr>
          <w:ilvl w:val="0"/>
          <w:numId w:val="1002"/>
        </w:numPr>
      </w:pPr>
      <w:r>
        <w:t xml:space="preserve">Quality and Governance: data quality controls, cleansing, reconciliation, metadata and lineage, governance controls</w:t>
      </w:r>
    </w:p>
    <w:p>
      <w:pPr>
        <w:pStyle w:val="Compact"/>
        <w:numPr>
          <w:ilvl w:val="0"/>
          <w:numId w:val="1002"/>
        </w:numPr>
      </w:pPr>
      <w:r>
        <w:t xml:space="preserve">Delivery and Operations: Azure DevOps, GitHub, CI/CD, release governance, production support, performance tuning</w:t>
      </w:r>
    </w:p>
    <w:p>
      <w:pPr>
        <w:pStyle w:val="Compact"/>
        <w:numPr>
          <w:ilvl w:val="0"/>
          <w:numId w:val="1002"/>
        </w:numPr>
      </w:pPr>
      <w:r>
        <w:t xml:space="preserve">Enterprise Domains: HRIS-integrated systems, finance, property and rating, clinical and dental analytics data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3"/>
        </w:numPr>
      </w:pPr>
      <w:r>
        <w:t xml:space="preserve">Led migration-related platform initiatives with hands-on ownership of architecture, ETL delivery, and production reliability.</w:t>
      </w:r>
    </w:p>
    <w:p>
      <w:pPr>
        <w:pStyle w:val="Compact"/>
        <w:numPr>
          <w:ilvl w:val="0"/>
          <w:numId w:val="1003"/>
        </w:numPr>
      </w:pPr>
      <w:r>
        <w:t xml:space="preserve">Directed data extraction, transformation, and load planning across Azure-based enterprise data solutions.</w:t>
      </w:r>
    </w:p>
    <w:p>
      <w:pPr>
        <w:pStyle w:val="Compact"/>
        <w:numPr>
          <w:ilvl w:val="0"/>
          <w:numId w:val="1003"/>
        </w:numPr>
      </w:pPr>
      <w:r>
        <w:t xml:space="preserve">Applied structured governance, release management, and risk controls to improve migration quality and cutover confidence.</w:t>
      </w:r>
    </w:p>
    <w:p>
      <w:pPr>
        <w:pStyle w:val="Compact"/>
        <w:numPr>
          <w:ilvl w:val="0"/>
          <w:numId w:val="1003"/>
        </w:numPr>
      </w:pPr>
      <w:r>
        <w:t xml:space="preserve">Partnered with business stakeholders and delivery partners to align technical execution with operational outcomes.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4"/>
        </w:numPr>
      </w:pPr>
      <w:r>
        <w:t xml:space="preserve">Architecture owner for enterprise analytics and integration capability supporting 250+ endpoints across finance, payroll, and clinical-adjacent domains.</w:t>
      </w:r>
    </w:p>
    <w:p>
      <w:pPr>
        <w:pStyle w:val="Compact"/>
        <w:numPr>
          <w:ilvl w:val="0"/>
          <w:numId w:val="1004"/>
        </w:numPr>
      </w:pPr>
      <w:r>
        <w:t xml:space="preserve">Led healthcare and dental industry data migration and integration planning to improve reporting trust and operational decision support.</w:t>
      </w:r>
    </w:p>
    <w:p>
      <w:pPr>
        <w:pStyle w:val="Compact"/>
        <w:numPr>
          <w:ilvl w:val="0"/>
          <w:numId w:val="1004"/>
        </w:numPr>
      </w:pPr>
      <w:r>
        <w:t xml:space="preserve">Delivered source-to-target data mapping, transformation design, and quality controls across multi-domain migration activities.</w:t>
      </w:r>
    </w:p>
    <w:p>
      <w:pPr>
        <w:pStyle w:val="Compact"/>
        <w:numPr>
          <w:ilvl w:val="0"/>
          <w:numId w:val="1004"/>
        </w:numPr>
      </w:pPr>
      <w:r>
        <w:t xml:space="preserve">Collaborated with stakeholders and vendor teams to ensure seamless migration outcomes and stable post-deployment operations.</w:t>
      </w:r>
    </w:p>
    <w:p>
      <w:pPr>
        <w:pStyle w:val="Compact"/>
        <w:numPr>
          <w:ilvl w:val="0"/>
          <w:numId w:val="1004"/>
        </w:numPr>
      </w:pPr>
      <w:r>
        <w:t xml:space="preserve">Worked in Dynamics 365 CE (CRM) and enterprise HR/finance integration contexts relevant to HRIS migration delivery.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5"/>
        </w:numPr>
      </w:pPr>
      <w:r>
        <w:t xml:space="preserve">Delivered enterprise data warehouse reliability and migration support across Australia and New Zealand operations.</w:t>
      </w:r>
    </w:p>
    <w:p>
      <w:pPr>
        <w:pStyle w:val="Compact"/>
        <w:numPr>
          <w:ilvl w:val="0"/>
          <w:numId w:val="1005"/>
        </w:numPr>
      </w:pPr>
      <w:r>
        <w:t xml:space="preserve">Supported Dynamics 365 Finance and Operations and HR integration enhancements with controlled data movement and validation.</w:t>
      </w:r>
    </w:p>
    <w:p>
      <w:pPr>
        <w:pStyle w:val="Compact"/>
        <w:numPr>
          <w:ilvl w:val="0"/>
          <w:numId w:val="1005"/>
        </w:numPr>
      </w:pPr>
      <w:r>
        <w:t xml:space="preserve">Acted as technical lead for incident resolution and service continuity across business-critical data flows.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6"/>
        </w:numPr>
      </w:pPr>
      <w:r>
        <w:t xml:space="preserve">Primary DBA for New Zealand’s national e-Prescription platform in a mission-critical healthcare environment.</w:t>
      </w:r>
    </w:p>
    <w:p>
      <w:pPr>
        <w:pStyle w:val="Compact"/>
        <w:numPr>
          <w:ilvl w:val="0"/>
          <w:numId w:val="1006"/>
        </w:numPr>
      </w:pPr>
      <w:r>
        <w:t xml:space="preserve">Led 8 TB SQL Server to Azure migration with staged governance, controlled cutover, and minimal downtime.</w:t>
      </w:r>
    </w:p>
    <w:p>
      <w:pPr>
        <w:pStyle w:val="Compact"/>
        <w:numPr>
          <w:ilvl w:val="0"/>
          <w:numId w:val="1006"/>
        </w:numPr>
      </w:pPr>
      <w:r>
        <w:t xml:space="preserve">Extensive healthcare data exposure including HL7-aligned data integration, validation, and operational data support.</w:t>
      </w:r>
    </w:p>
    <w:p>
      <w:pPr>
        <w:pStyle w:val="Compact"/>
        <w:numPr>
          <w:ilvl w:val="0"/>
          <w:numId w:val="1006"/>
        </w:numPr>
      </w:pPr>
      <w:r>
        <w:t xml:space="preserve">Improved migration readiness and long-term platform resilience through tuning, hardening, and controls.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7"/>
        </w:numPr>
      </w:pPr>
      <w:r>
        <w:t xml:space="preserve">Delivered healthcare data integration and migration services, including HL7 real-time e-Prescription pipelines.</w:t>
      </w:r>
    </w:p>
    <w:p>
      <w:pPr>
        <w:pStyle w:val="Compact"/>
        <w:numPr>
          <w:ilvl w:val="0"/>
          <w:numId w:val="1007"/>
        </w:numPr>
      </w:pPr>
      <w:r>
        <w:t xml:space="preserve">Built ETL workflows and reporting extracts for Ministry and operational requirements.</w:t>
      </w:r>
    </w:p>
    <w:p>
      <w:pPr>
        <w:pStyle w:val="Compact"/>
        <w:numPr>
          <w:ilvl w:val="0"/>
          <w:numId w:val="1007"/>
        </w:numPr>
      </w:pPr>
      <w:r>
        <w:t xml:space="preserve">Supported data quality checks, cleansing, and issue resolution in high-availability healthcare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8"/>
        </w:numPr>
      </w:pPr>
      <w:r>
        <w:t xml:space="preserve">Technical lead from the council side for enterprise migration to the TechnologyOne product.</w:t>
      </w:r>
    </w:p>
    <w:p>
      <w:pPr>
        <w:pStyle w:val="Compact"/>
        <w:numPr>
          <w:ilvl w:val="0"/>
          <w:numId w:val="1008"/>
        </w:numPr>
      </w:pPr>
      <w:r>
        <w:t xml:space="preserve">Led migration of Property and Rating data into TechnologyOne production.</w:t>
      </w:r>
    </w:p>
    <w:p>
      <w:pPr>
        <w:pStyle w:val="Compact"/>
        <w:numPr>
          <w:ilvl w:val="0"/>
          <w:numId w:val="1008"/>
        </w:numPr>
      </w:pPr>
      <w:r>
        <w:t xml:space="preserve">Led migration of Finance data into TechnologyOne production with structured validation and cutover support.</w:t>
      </w:r>
    </w:p>
    <w:p>
      <w:pPr>
        <w:pStyle w:val="Compact"/>
        <w:numPr>
          <w:ilvl w:val="0"/>
          <w:numId w:val="1008"/>
        </w:numPr>
      </w:pPr>
      <w:r>
        <w:t xml:space="preserve">Coordinated data mapping, ETL execution, UAT support, and go-live readiness with stakeholders and delivery teams.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09"/>
        </w:numPr>
      </w:pPr>
      <w:r>
        <w:t xml:space="preserve">Modernised legacy Microsoft Access data systems to SQL Server and .NET-aligned platforms.</w:t>
      </w:r>
    </w:p>
    <w:p>
      <w:pPr>
        <w:pStyle w:val="Compact"/>
        <w:numPr>
          <w:ilvl w:val="0"/>
          <w:numId w:val="1009"/>
        </w:numPr>
      </w:pPr>
      <w:r>
        <w:t xml:space="preserve">Supported clinical application data migration, packaging, and live cutover activities in healthcare operations.</w:t>
      </w:r>
    </w:p>
    <w:bookmarkEnd w:id="19"/>
    <w:bookmarkEnd w:id="20"/>
    <w:bookmarkStart w:id="21" w:name="migration-highlights"/>
    <w:p>
      <w:pPr>
        <w:pStyle w:val="Heading2"/>
      </w:pPr>
      <w:r>
        <w:t xml:space="preserve">Migration Highlights</w:t>
      </w:r>
    </w:p>
    <w:p>
      <w:pPr>
        <w:pStyle w:val="Compact"/>
        <w:numPr>
          <w:ilvl w:val="0"/>
          <w:numId w:val="1010"/>
        </w:numPr>
      </w:pPr>
      <w:r>
        <w:t xml:space="preserve">Proven enterprise-level migration strategy and delivery leadership across healthcare and government environments.</w:t>
      </w:r>
    </w:p>
    <w:p>
      <w:pPr>
        <w:pStyle w:val="Compact"/>
        <w:numPr>
          <w:ilvl w:val="0"/>
          <w:numId w:val="1010"/>
        </w:numPr>
      </w:pPr>
      <w:r>
        <w:t xml:space="preserve">Demonstrated healthcare data standards exposure, including HL7-based data integration and transformation.</w:t>
      </w:r>
    </w:p>
    <w:p>
      <w:pPr>
        <w:pStyle w:val="Compact"/>
        <w:numPr>
          <w:ilvl w:val="0"/>
          <w:numId w:val="1010"/>
        </w:numPr>
      </w:pPr>
      <w:r>
        <w:t xml:space="preserve">Strong record in ETL delivery, data quality assessment, data cleansing, reconciliation, and cutover governance.</w:t>
      </w:r>
    </w:p>
    <w:p>
      <w:pPr>
        <w:pStyle w:val="Compact"/>
        <w:numPr>
          <w:ilvl w:val="0"/>
          <w:numId w:val="1010"/>
        </w:numPr>
      </w:pPr>
      <w:r>
        <w:t xml:space="preserve">Effective collaboration with business stakeholders and delivery vendors for seamless migration execution.</w:t>
      </w:r>
    </w:p>
    <w:p>
      <w:pPr>
        <w:pStyle w:val="Compact"/>
        <w:numPr>
          <w:ilvl w:val="0"/>
          <w:numId w:val="1010"/>
        </w:numPr>
      </w:pPr>
      <w:r>
        <w:t xml:space="preserve">SuccessFactors-ready profile for complex HRIS migration programs in large healthcare organisations.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1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2026-02-24T10:44:51Z</dcterms:created>
  <dcterms:modified xsi:type="dcterms:W3CDTF">2026-02-24T10:44:51Z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