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7E" w:rsidRPr="001639D2" w:rsidRDefault="00634F7E" w:rsidP="00634F7E">
      <w:pPr>
        <w:rPr>
          <w:rFonts w:ascii="Arial" w:hAnsi="Arial" w:cs="Arial"/>
          <w:b/>
          <w:sz w:val="40"/>
          <w:u w:val="single"/>
        </w:rPr>
      </w:pPr>
      <w:r w:rsidRPr="001639D2">
        <w:rPr>
          <w:rFonts w:ascii="Arial" w:hAnsi="Arial" w:cs="Arial"/>
          <w:b/>
          <w:sz w:val="40"/>
          <w:u w:val="single"/>
        </w:rPr>
        <w:t>Ratio</w:t>
      </w:r>
      <w:r w:rsidR="00A40902">
        <w:rPr>
          <w:rFonts w:ascii="Arial" w:hAnsi="Arial" w:cs="Arial"/>
          <w:b/>
          <w:sz w:val="40"/>
          <w:u w:val="single"/>
        </w:rPr>
        <w:t xml:space="preserve"> </w:t>
      </w:r>
      <w:r w:rsidRPr="001639D2">
        <w:rPr>
          <w:rFonts w:ascii="Arial" w:hAnsi="Arial" w:cs="Arial"/>
          <w:b/>
          <w:sz w:val="40"/>
          <w:u w:val="single"/>
        </w:rPr>
        <w:t>Solution Check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Q1) B, A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Q2) B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Q3) B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Q4) A, C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Q5) A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Q6) A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Q7) Current ratio: 89%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Q8) Current ratio: 261%; Quick asset ratio: 118%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Q9) Quick asset ratio: Woolworths Limited-21.4% &amp; David Jones-13.3%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Q10) A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Q11) A: 83%, B: 151% &amp; C</w:t>
      </w:r>
      <w:proofErr w:type="gramStart"/>
      <w:r w:rsidRPr="001639D2">
        <w:rPr>
          <w:sz w:val="32"/>
        </w:rPr>
        <w:t>:240</w:t>
      </w:r>
      <w:proofErr w:type="gramEnd"/>
      <w:r w:rsidRPr="001639D2">
        <w:rPr>
          <w:sz w:val="32"/>
        </w:rPr>
        <w:t>%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Q12) C</w:t>
      </w:r>
    </w:p>
    <w:p w:rsidR="009116CB" w:rsidRDefault="00D83132">
      <w:pPr>
        <w:rPr>
          <w:sz w:val="32"/>
        </w:rPr>
      </w:pPr>
      <w:r w:rsidRPr="001639D2">
        <w:rPr>
          <w:sz w:val="32"/>
        </w:rPr>
        <w:t>Q13) A, A, A &amp; A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Q14) Debt to Equity: 178%; Times Interest Earned: 2.17 times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Q15) Debt to Equity: 218%; Times Interest Earned: 2.6 times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Q16) Debt to Equity: 166%; Times Interest Earned: 1.4 times</w:t>
      </w:r>
    </w:p>
    <w:p w:rsidR="00A40902" w:rsidRDefault="00A40902">
      <w:pPr>
        <w:rPr>
          <w:sz w:val="32"/>
        </w:rPr>
      </w:pPr>
      <w:r>
        <w:rPr>
          <w:sz w:val="32"/>
        </w:rPr>
        <w:br w:type="page"/>
      </w:r>
    </w:p>
    <w:p w:rsidR="00A40902" w:rsidRDefault="00D83132" w:rsidP="00A40902">
      <w:pPr>
        <w:tabs>
          <w:tab w:val="left" w:pos="720"/>
        </w:tabs>
        <w:ind w:left="720" w:hanging="720"/>
        <w:rPr>
          <w:sz w:val="32"/>
        </w:rPr>
      </w:pPr>
      <w:bookmarkStart w:id="0" w:name="_GoBack"/>
      <w:bookmarkEnd w:id="0"/>
      <w:r w:rsidRPr="001639D2">
        <w:rPr>
          <w:sz w:val="32"/>
        </w:rPr>
        <w:lastRenderedPageBreak/>
        <w:t xml:space="preserve">Q17) </w:t>
      </w:r>
      <w:r w:rsidR="00A40902">
        <w:rPr>
          <w:sz w:val="32"/>
        </w:rPr>
        <w:tab/>
      </w:r>
      <w:r w:rsidR="009116CB">
        <w:rPr>
          <w:sz w:val="32"/>
        </w:rPr>
        <w:t>Summer Limited- Current Ratio: 96%; Debt to Equity: 283</w:t>
      </w:r>
      <w:r w:rsidRPr="001639D2">
        <w:rPr>
          <w:sz w:val="32"/>
        </w:rPr>
        <w:t>%; Times Interest Ea</w:t>
      </w:r>
      <w:r w:rsidR="009116CB">
        <w:rPr>
          <w:sz w:val="32"/>
        </w:rPr>
        <w:t>rned: 2.4</w:t>
      </w:r>
      <w:r w:rsidRPr="001639D2">
        <w:rPr>
          <w:sz w:val="32"/>
        </w:rPr>
        <w:t xml:space="preserve"> times</w:t>
      </w:r>
      <w:r w:rsidR="009116CB">
        <w:rPr>
          <w:sz w:val="32"/>
        </w:rPr>
        <w:t xml:space="preserve">; </w:t>
      </w:r>
    </w:p>
    <w:p w:rsidR="009116CB" w:rsidRPr="001639D2" w:rsidRDefault="00A40902" w:rsidP="00A40902">
      <w:pPr>
        <w:tabs>
          <w:tab w:val="left" w:pos="720"/>
        </w:tabs>
        <w:ind w:left="720" w:hanging="720"/>
        <w:rPr>
          <w:sz w:val="32"/>
        </w:rPr>
      </w:pPr>
      <w:r>
        <w:rPr>
          <w:sz w:val="32"/>
        </w:rPr>
        <w:tab/>
      </w:r>
      <w:r w:rsidR="009116CB">
        <w:rPr>
          <w:sz w:val="32"/>
        </w:rPr>
        <w:t>Winter Limited-</w:t>
      </w:r>
      <w:r w:rsidR="009116CB" w:rsidRPr="001639D2">
        <w:rPr>
          <w:sz w:val="32"/>
        </w:rPr>
        <w:t>Current Ratio: 170%; Debt to Equity: 24.3%; Times Interest Earned: 9.3 times</w:t>
      </w:r>
    </w:p>
    <w:p w:rsidR="00D83132" w:rsidRPr="001639D2" w:rsidRDefault="00D83132" w:rsidP="00A40902">
      <w:pPr>
        <w:ind w:left="720" w:hanging="720"/>
        <w:rPr>
          <w:sz w:val="32"/>
        </w:rPr>
      </w:pPr>
      <w:r w:rsidRPr="001639D2">
        <w:rPr>
          <w:sz w:val="32"/>
        </w:rPr>
        <w:t xml:space="preserve">Q18) Profit Margin Ratio: 2018-11.3% &amp; 2019-5.8%; </w:t>
      </w:r>
      <w:proofErr w:type="gramStart"/>
      <w:r w:rsidRPr="001639D2">
        <w:rPr>
          <w:sz w:val="32"/>
        </w:rPr>
        <w:t>Return</w:t>
      </w:r>
      <w:proofErr w:type="gramEnd"/>
      <w:r w:rsidRPr="001639D2">
        <w:rPr>
          <w:sz w:val="32"/>
        </w:rPr>
        <w:t xml:space="preserve"> on assets: 5.3%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Q19) Profit Margin Ratio: 10.5%; Return on assets: 10.3%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Q20) Profit Margin Ratio: 4.1%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Q21) Profit Margin Ratio: 14.7%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Q22) C</w:t>
      </w:r>
    </w:p>
    <w:p w:rsidR="00D83132" w:rsidRPr="001639D2" w:rsidRDefault="00D83132">
      <w:pPr>
        <w:rPr>
          <w:sz w:val="32"/>
        </w:rPr>
      </w:pPr>
      <w:r w:rsidRPr="001639D2">
        <w:rPr>
          <w:sz w:val="32"/>
        </w:rPr>
        <w:t>Q23) A</w:t>
      </w:r>
    </w:p>
    <w:p w:rsidR="004731D2" w:rsidRPr="001639D2" w:rsidRDefault="004731D2">
      <w:pPr>
        <w:rPr>
          <w:sz w:val="32"/>
        </w:rPr>
      </w:pPr>
      <w:r w:rsidRPr="001639D2">
        <w:rPr>
          <w:sz w:val="32"/>
        </w:rPr>
        <w:t>Q24) Earnings per ordinary share: $0.21 per share</w:t>
      </w:r>
    </w:p>
    <w:p w:rsidR="004731D2" w:rsidRPr="001639D2" w:rsidRDefault="004731D2" w:rsidP="00A40902">
      <w:pPr>
        <w:ind w:left="720" w:hanging="720"/>
        <w:rPr>
          <w:sz w:val="32"/>
        </w:rPr>
      </w:pPr>
      <w:r w:rsidRPr="001639D2">
        <w:rPr>
          <w:sz w:val="32"/>
        </w:rPr>
        <w:t>Q27) Price Earnings ratio: Alpha Limited-5 times, Omega Limited-20 times</w:t>
      </w:r>
    </w:p>
    <w:p w:rsidR="004731D2" w:rsidRPr="001639D2" w:rsidRDefault="004731D2" w:rsidP="004731D2">
      <w:pPr>
        <w:rPr>
          <w:sz w:val="32"/>
        </w:rPr>
      </w:pPr>
      <w:r w:rsidRPr="001639D2">
        <w:rPr>
          <w:sz w:val="32"/>
        </w:rPr>
        <w:t>Q28) Price Earnings ratio: 8 times</w:t>
      </w:r>
    </w:p>
    <w:p w:rsidR="004731D2" w:rsidRPr="001639D2" w:rsidRDefault="004731D2" w:rsidP="004731D2">
      <w:pPr>
        <w:rPr>
          <w:sz w:val="32"/>
        </w:rPr>
      </w:pPr>
      <w:r w:rsidRPr="001639D2">
        <w:rPr>
          <w:sz w:val="32"/>
        </w:rPr>
        <w:t>Q29) Price Earnings ratio: 15 times</w:t>
      </w:r>
    </w:p>
    <w:p w:rsidR="004731D2" w:rsidRPr="001639D2" w:rsidRDefault="004731D2" w:rsidP="004731D2">
      <w:pPr>
        <w:rPr>
          <w:sz w:val="32"/>
        </w:rPr>
      </w:pPr>
      <w:r w:rsidRPr="001639D2">
        <w:rPr>
          <w:sz w:val="32"/>
        </w:rPr>
        <w:t>Q30) Dividend yield: 8.5%</w:t>
      </w:r>
    </w:p>
    <w:p w:rsidR="004731D2" w:rsidRPr="001639D2" w:rsidRDefault="004731D2" w:rsidP="00A40902">
      <w:pPr>
        <w:ind w:left="720" w:hanging="720"/>
        <w:rPr>
          <w:sz w:val="32"/>
        </w:rPr>
      </w:pPr>
      <w:r w:rsidRPr="001639D2">
        <w:rPr>
          <w:sz w:val="32"/>
        </w:rPr>
        <w:t>Q31) Dividend yield: David Jones Limited-6.15%, Woolworths limited-3.95%</w:t>
      </w:r>
    </w:p>
    <w:p w:rsidR="004731D2" w:rsidRPr="001639D2" w:rsidRDefault="004731D2" w:rsidP="00A40902">
      <w:pPr>
        <w:ind w:left="720" w:hanging="720"/>
        <w:rPr>
          <w:sz w:val="32"/>
        </w:rPr>
      </w:pPr>
      <w:r w:rsidRPr="001639D2">
        <w:rPr>
          <w:sz w:val="32"/>
        </w:rPr>
        <w:t>Q32) Debtors collection period: 2028-32 days, 2029-37 days; A; Inventory turnover: 2028-2.9 times per year, 2029-3.7 times per year; A</w:t>
      </w:r>
    </w:p>
    <w:p w:rsidR="00634F7E" w:rsidRPr="001639D2" w:rsidRDefault="00634F7E" w:rsidP="004731D2">
      <w:pPr>
        <w:rPr>
          <w:sz w:val="32"/>
        </w:rPr>
      </w:pPr>
      <w:r w:rsidRPr="001639D2">
        <w:rPr>
          <w:sz w:val="32"/>
        </w:rPr>
        <w:lastRenderedPageBreak/>
        <w:t>Q33) Debtors collection period: 2026-37 days, 2027-32 days</w:t>
      </w:r>
    </w:p>
    <w:p w:rsidR="00634F7E" w:rsidRPr="001639D2" w:rsidRDefault="00634F7E" w:rsidP="00A40902">
      <w:pPr>
        <w:ind w:left="720" w:hanging="720"/>
        <w:rPr>
          <w:sz w:val="32"/>
        </w:rPr>
      </w:pPr>
      <w:r w:rsidRPr="001639D2">
        <w:rPr>
          <w:sz w:val="32"/>
        </w:rPr>
        <w:t>Q34) Inventory turnover: 2028-2.7 times per year, 2029-1.8 times per year</w:t>
      </w:r>
    </w:p>
    <w:p w:rsidR="00634F7E" w:rsidRPr="001639D2" w:rsidRDefault="00634F7E" w:rsidP="00A40902">
      <w:pPr>
        <w:ind w:left="720" w:hanging="720"/>
        <w:rPr>
          <w:sz w:val="32"/>
        </w:rPr>
      </w:pPr>
      <w:r w:rsidRPr="001639D2">
        <w:rPr>
          <w:sz w:val="32"/>
        </w:rPr>
        <w:t>Q35) Profit Margin Ratio: 6.5%; Return on assets: 6.8%; Earnings per ordinary share: $0.10 per share; Price Earnings ratio: 8.4 times</w:t>
      </w:r>
    </w:p>
    <w:p w:rsidR="00634F7E" w:rsidRPr="001639D2" w:rsidRDefault="00634F7E" w:rsidP="00A40902">
      <w:pPr>
        <w:ind w:left="720" w:hanging="720"/>
        <w:rPr>
          <w:sz w:val="32"/>
        </w:rPr>
      </w:pPr>
      <w:r w:rsidRPr="001639D2">
        <w:rPr>
          <w:sz w:val="32"/>
        </w:rPr>
        <w:t xml:space="preserve">Q39) </w:t>
      </w:r>
      <w:r w:rsidRPr="001639D2">
        <w:rPr>
          <w:i/>
          <w:sz w:val="32"/>
        </w:rPr>
        <w:t>Red Traders Limited</w:t>
      </w:r>
      <w:r w:rsidRPr="001639D2">
        <w:rPr>
          <w:sz w:val="32"/>
        </w:rPr>
        <w:t>: Current Ratio: 229%; Debt to Equity: 69%; Times Interest Earned: 8 times; Profit Margin Ratio: 9%; Return on assets: 14.8%; Debtors collection period: 31 days; Inventory turnover: 3.2 times per year</w:t>
      </w:r>
    </w:p>
    <w:p w:rsidR="00634F7E" w:rsidRPr="001639D2" w:rsidRDefault="00634F7E" w:rsidP="00A40902">
      <w:pPr>
        <w:ind w:left="720"/>
        <w:rPr>
          <w:sz w:val="32"/>
        </w:rPr>
      </w:pPr>
      <w:r w:rsidRPr="001639D2">
        <w:rPr>
          <w:i/>
          <w:sz w:val="32"/>
        </w:rPr>
        <w:t>Red Traders Limited</w:t>
      </w:r>
      <w:r w:rsidRPr="001639D2">
        <w:rPr>
          <w:sz w:val="32"/>
        </w:rPr>
        <w:t>: Current Ratio: 141%; Debt to Equity: 205%; Times Interest Earned: 2 times; Profit Margin Ratio: 6.9%; Return on assets: 6.3%; Debtors collection period: 49 days; Inventory turnover: 2.54 times per year</w:t>
      </w:r>
    </w:p>
    <w:p w:rsidR="00634F7E" w:rsidRPr="001639D2" w:rsidRDefault="00634F7E" w:rsidP="00634F7E">
      <w:pPr>
        <w:rPr>
          <w:sz w:val="32"/>
        </w:rPr>
      </w:pPr>
    </w:p>
    <w:p w:rsidR="00634F7E" w:rsidRPr="001639D2" w:rsidRDefault="00634F7E" w:rsidP="004731D2">
      <w:pPr>
        <w:rPr>
          <w:sz w:val="32"/>
        </w:rPr>
      </w:pPr>
    </w:p>
    <w:p w:rsidR="004731D2" w:rsidRPr="001639D2" w:rsidRDefault="004731D2" w:rsidP="004731D2">
      <w:pPr>
        <w:rPr>
          <w:sz w:val="32"/>
        </w:rPr>
      </w:pPr>
    </w:p>
    <w:p w:rsidR="004731D2" w:rsidRPr="001639D2" w:rsidRDefault="004731D2" w:rsidP="004731D2">
      <w:pPr>
        <w:rPr>
          <w:sz w:val="32"/>
        </w:rPr>
      </w:pPr>
    </w:p>
    <w:p w:rsidR="004731D2" w:rsidRPr="001639D2" w:rsidRDefault="004731D2">
      <w:pPr>
        <w:rPr>
          <w:sz w:val="32"/>
        </w:rPr>
      </w:pPr>
    </w:p>
    <w:sectPr w:rsidR="004731D2" w:rsidRPr="0016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32"/>
    <w:rsid w:val="001639D2"/>
    <w:rsid w:val="003F39AC"/>
    <w:rsid w:val="004731D2"/>
    <w:rsid w:val="00634F7E"/>
    <w:rsid w:val="009116CB"/>
    <w:rsid w:val="00A40902"/>
    <w:rsid w:val="00D8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Sunway Education Group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2014-05-20T03:43:00Z</dcterms:created>
  <dcterms:modified xsi:type="dcterms:W3CDTF">2014-06-18T05:16:00Z</dcterms:modified>
</cp:coreProperties>
</file>